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wmf" ContentType="image/x-wmf"/>
  <Default Extension="png" ContentType="image/png"/>
  <Default Extension="jpg" ContentType="image/jpe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4"/>
        </w:rPr>
      </w:pPr>
      <w:r/>
      <w:bookmarkStart w:id="0" w:name="_Toc46743519"/>
      <w:r>
        <w:rPr>
          <w:bCs/>
          <w:sz w:val="24"/>
          <w:szCs w:val="24"/>
        </w:rPr>
        <w:t xml:space="preserve">Приложение №2  к Техническим требованиям</w:t>
      </w:r>
      <w:r>
        <w:rPr>
          <w:sz w:val="24"/>
        </w:rPr>
      </w:r>
      <w:r>
        <w:rPr>
          <w:sz w:val="24"/>
        </w:rPr>
      </w:r>
    </w:p>
    <w:p>
      <w:pPr>
        <w:ind w:firstLine="567"/>
        <w:jc w:val="both"/>
        <w:spacing w:line="276" w:lineRule="auto"/>
        <w:shd w:val="clear" w:color="auto" w:fill="ffffff"/>
        <w:tabs>
          <w:tab w:val="left" w:pos="993" w:leader="none"/>
        </w:tabs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Требования к оформлению и составлению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сметной документации на выполнение проектных и изыскательских работ.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ascii="Times New Roman" w:hAnsi="Times New Roman" w:eastAsia="Times New Roman" w:cs="Arial"/>
          <w:szCs w:val="20"/>
          <w:lang w:eastAsia="ru-RU"/>
        </w:rPr>
        <w:t xml:space="preserve">Настоящие требования разработаны для единого подхода к определению стоимости проектных и изыскательских работ (далее - ПИР).</w:t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Сметный расчет стоимости изыскательских работ составляется в соответствии с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>
          <w:rFonts w:ascii="Calibri" w:hAnsi="Calibri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По окончании изысканий соста</w:t>
      </w:r>
      <w:r>
        <w:rPr>
          <w:rFonts w:ascii="Times New Roman" w:hAnsi="Times New Roman" w:eastAsia="Times New Roman" w:cs="Times New Roman"/>
          <w:lang w:eastAsia="ru-RU"/>
        </w:rPr>
        <w:t xml:space="preserve">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ascii="Times New Roman" w:hAnsi="Times New Roman" w:eastAsia="Times New Roman" w:cs="Times New Roman"/>
          <w:lang w:eastAsia="ru-RU"/>
        </w:rPr>
        <w:t xml:space="preserve"> (c изм.от 08.06.2023г в ред приказа №409/пр)  или иных актуальных методических указаний.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изыскательских работ определять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и внесенного в ФРСН нормативов или иного актуального документа. 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lang w:eastAsia="ru-RU"/>
        </w:rPr>
        <w:t xml:space="preserve">реднедневная заработная плата Исполнителей принимается по данным Росстата на официальном сайте единой межведомственной информационно-статистической системы (ЕМИСС, </w:t>
      </w:r>
      <w:hyperlink r:id="rId13" w:tooltip="https://www.fedstat.ru" w:history="1">
        <w:r>
          <w:rPr>
            <w:rFonts w:ascii="Times New Roman" w:hAnsi="Times New Roman" w:eastAsia="Times New Roman" w:cs="Times New Roman"/>
            <w:lang w:eastAsia="ru-RU"/>
          </w:rPr>
          <w:t xml:space="preserve">https://www.fedstat.ru</w:t>
        </w:r>
      </w:hyperlink>
      <w:r>
        <w:rPr>
          <w:rFonts w:ascii="Times New Roman" w:hAnsi="Times New Roman" w:eastAsia="Times New Roman" w:cs="Times New Roman"/>
          <w:lang w:eastAsia="ru-RU"/>
        </w:rPr>
        <w:t xml:space="preserve">). При этом показ</w:t>
      </w:r>
      <w:r>
        <w:rPr>
          <w:rFonts w:ascii="Times New Roman" w:hAnsi="Times New Roman" w:eastAsia="Times New Roman" w:cs="Times New Roman"/>
          <w:lang w:eastAsia="ru-RU"/>
        </w:rPr>
        <w:t xml:space="preserve">атель среднемесячной номинальной начисленной заработной платы принимается в соответствии с Классификатором по виду экономической деятельности (ОКВЭД2) и с учетом Классификатора объектов административно-территориального деления (ОКАТО) Проектной организации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Проектная документация отдельных этапов строительства, </w:t>
      </w:r>
      <w:r>
        <w:rPr>
          <w:rFonts w:ascii="Times New Roman" w:hAnsi="Times New Roman" w:eastAsia="Times New Roman" w:cs="Times New Roman"/>
          <w:lang w:eastAsia="ru-RU"/>
        </w:rPr>
        <w:t xml:space="preserve">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>
        <w:rPr>
          <w:rFonts w:ascii="Times New Roman" w:hAnsi="Times New Roman" w:eastAsia="Times New Roman" w:cs="Times New Roman"/>
          <w:lang w:eastAsia="ru-RU"/>
        </w:rPr>
        <w:t xml:space="preserve"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>
        <w:rPr>
          <w:rFonts w:ascii="Times New Roman" w:hAnsi="Times New Roman" w:eastAsia="Times New Roman" w:cs="Times New Roman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 w:eastAsia="Times New Roman" w:cs="Times New Roman"/>
          <w:lang w:val="en-US" w:eastAsia="ru-RU"/>
        </w:rPr>
        <w:t xml:space="preserve">II</w:t>
      </w:r>
      <w:r>
        <w:rPr>
          <w:rFonts w:ascii="Times New Roman" w:hAnsi="Times New Roman" w:eastAsia="Times New Roman" w:cs="Times New Roman"/>
          <w:lang w:eastAsia="ru-RU"/>
        </w:rPr>
        <w:t xml:space="preserve"> МУ. При определении стоимости проектных </w:t>
      </w:r>
      <w:r>
        <w:rPr>
          <w:rFonts w:ascii="Times New Roman" w:hAnsi="Times New Roman" w:eastAsia="Times New Roman" w:cs="Times New Roman"/>
          <w:lang w:eastAsia="ru-RU"/>
        </w:rPr>
        <w:t xml:space="preserve">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Для пересчета стоимости строительно-монтажных работ и прочих затрат из уровня цен по состоянию на 01.01.2000 в уровень цен по с</w:t>
      </w:r>
      <w:r>
        <w:rPr>
          <w:rFonts w:ascii="Times New Roman" w:hAnsi="Times New Roman" w:eastAsia="Times New Roman" w:cs="Times New Roman"/>
          <w:lang w:eastAsia="ru-RU"/>
        </w:rPr>
        <w:t xml:space="preserve">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</w:t>
      </w:r>
      <w:r>
        <w:rPr>
          <w:rFonts w:ascii="Times New Roman" w:hAnsi="Times New Roman" w:eastAsia="Times New Roman" w:cs="Times New Roman"/>
          <w:lang w:eastAsia="ru-RU"/>
        </w:rPr>
        <w:t xml:space="preserve">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с учетом индивидуального подхода по каждому объекту.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ПИР, затраты проектной организации, расположенной в районах, в которых, в соответствии с действующим законодательств</w:t>
      </w:r>
      <w:r>
        <w:rPr>
          <w:rFonts w:ascii="Times New Roman" w:hAnsi="Times New Roman" w:eastAsia="Times New Roman" w:cs="Times New Roman"/>
          <w:lang w:eastAsia="ru-RU"/>
        </w:rPr>
        <w:t xml:space="preserve">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</w:t>
      </w:r>
      <w:r>
        <w:rPr>
          <w:rFonts w:ascii="Times New Roman" w:hAnsi="Times New Roman" w:eastAsia="Times New Roman" w:cs="Times New Roman"/>
          <w:lang w:eastAsia="ru-RU"/>
        </w:rPr>
        <w:t xml:space="preserve">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</w:t>
      </w:r>
      <w:r>
        <w:rPr>
          <w:rFonts w:ascii="Times New Roman" w:hAnsi="Times New Roman" w:eastAsia="Times New Roman" w:cs="Times New Roman"/>
          <w:lang w:eastAsia="ru-RU"/>
        </w:rPr>
        <w:t xml:space="preserve">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 случае отсутствия в сметных нор</w:t>
      </w:r>
      <w:r>
        <w:rPr>
          <w:rFonts w:ascii="Times New Roman" w:hAnsi="Times New Roman" w:eastAsia="Times New Roman" w:cs="Times New Roman"/>
          <w:lang w:eastAsia="ru-RU"/>
        </w:rPr>
        <w:t xml:space="preserve">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Стоимость работ, цены на которые отсутствуют в СБЦ и СЦ, внесенных в </w:t>
      </w:r>
      <w:r>
        <w:rPr>
          <w:rFonts w:ascii="Times New Roman" w:hAnsi="Times New Roman" w:eastAsia="Times New Roman" w:cs="Times New Roman"/>
          <w:lang w:eastAsia="ru-RU"/>
        </w:rPr>
        <w:t xml:space="preserve">ФРСН</w:t>
      </w:r>
      <w:r>
        <w:rPr>
          <w:rFonts w:ascii="Times New Roman" w:hAnsi="Times New Roman" w:eastAsia="Times New Roman" w:cs="Arial"/>
          <w:lang w:eastAsia="ru-RU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4" w:tooltip="Форма 3П" w:anchor="PO0000052#PO0000052" w:history="1">
        <w:r>
          <w:rPr>
            <w:rFonts w:ascii="Times New Roman" w:hAnsi="Times New Roman" w:eastAsia="Times New Roman" w:cs="Arial"/>
            <w:color w:val="0000ff"/>
            <w:u w:val="single"/>
            <w:lang w:eastAsia="ru-RU"/>
          </w:rPr>
          <w:t xml:space="preserve">3п</w:t>
        </w:r>
      </w:hyperlink>
      <w:r>
        <w:rPr>
          <w:rFonts w:ascii="Times New Roman" w:hAnsi="Times New Roman" w:eastAsia="Times New Roman" w:cs="Arial"/>
          <w:lang w:eastAsia="ru-RU"/>
        </w:rPr>
        <w:t xml:space="preserve">) по согласованию с Заказчиком.</w:t>
      </w:r>
      <w:r>
        <w:rPr>
          <w:rFonts w:ascii="Times New Roman" w:hAnsi="Times New Roman" w:eastAsia="Times New Roman" w:cs="Arial"/>
          <w:lang w:eastAsia="ru-RU"/>
        </w:rPr>
      </w:r>
      <w:r>
        <w:rPr>
          <w:rFonts w:ascii="Times New Roman" w:hAnsi="Times New Roman" w:eastAsia="Times New Roman" w:cs="Arial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Стоимост</w:t>
      </w:r>
      <w:r>
        <w:rPr>
          <w:rFonts w:ascii="Times New Roman" w:hAnsi="Times New Roman" w:eastAsia="Times New Roman" w:cs="Arial"/>
          <w:lang w:eastAsia="ru-RU"/>
        </w:rPr>
        <w:t xml:space="preserve">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  <w:r>
        <w:rPr>
          <w:rFonts w:ascii="Times New Roman" w:hAnsi="Times New Roman" w:eastAsia="Times New Roman" w:cs="Arial"/>
          <w:lang w:eastAsia="ru-RU"/>
        </w:rPr>
      </w:r>
      <w:r>
        <w:rPr>
          <w:rFonts w:ascii="Times New Roman" w:hAnsi="Times New Roman" w:eastAsia="Times New Roman" w:cs="Arial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Сметы на ПИР предоставляются в форматах: «Excel» и «</w:t>
      </w:r>
      <w:r>
        <w:rPr>
          <w:rFonts w:ascii="Times New Roman" w:hAnsi="Times New Roman" w:eastAsia="Times New Roman" w:cs="Times New Roman"/>
          <w:lang w:val="en-US" w:eastAsia="ru-RU"/>
        </w:rPr>
        <w:t xml:space="preserve">pdf</w:t>
      </w:r>
      <w:r>
        <w:rPr>
          <w:rFonts w:ascii="Times New Roman" w:hAnsi="Times New Roman" w:eastAsia="Times New Roman" w:cs="Times New Roman"/>
          <w:lang w:eastAsia="ru-RU"/>
        </w:rPr>
        <w:t xml:space="preserve">» (с подписями и печатью). </w:t>
      </w:r>
      <w:r>
        <w:rPr>
          <w:rFonts w:ascii="Times New Roman" w:hAnsi="Times New Roman" w:eastAsia="Times New Roman" w:cs="Times New Roman"/>
          <w:lang w:eastAsia="ru-RU"/>
        </w:rPr>
        <w:t xml:space="preserve">Сметная документация в формате «Exce</w:t>
      </w:r>
      <w:r>
        <w:rPr>
          <w:rFonts w:ascii="Times New Roman" w:hAnsi="Times New Roman" w:eastAsia="Times New Roman" w:cs="Times New Roman"/>
          <w:lang w:val="en-US" w:eastAsia="ru-RU"/>
        </w:rPr>
        <w:t xml:space="preserve">l</w:t>
      </w:r>
      <w:r>
        <w:rPr>
          <w:rFonts w:ascii="Times New Roman" w:hAnsi="Times New Roman" w:eastAsia="Times New Roman" w:cs="Times New Roman"/>
          <w:lang w:eastAsia="ru-RU"/>
        </w:rPr>
        <w:t xml:space="preserve">» должна быть представлена в одном файле с внесением ССРСС, ЛСР и других расчетов на отдельные листы (вкладки) документа.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Результаты вычислений </w:t>
      </w:r>
      <w:r>
        <w:rPr>
          <w:rFonts w:ascii="Times New Roman" w:hAnsi="Times New Roman" w:eastAsia="Times New Roman" w:cs="Times New Roman"/>
          <w:lang w:eastAsia="ru-RU"/>
        </w:rPr>
        <w:t xml:space="preserve">(построчные) </w:t>
      </w:r>
      <w:r>
        <w:rPr>
          <w:rFonts w:ascii="Times New Roman" w:hAnsi="Times New Roman" w:eastAsia="Times New Roman" w:cs="Arial"/>
          <w:lang w:eastAsia="ru-RU"/>
        </w:rPr>
        <w:t xml:space="preserve">и итоговые данные в </w:t>
      </w:r>
      <w:r>
        <w:rPr>
          <w:rFonts w:ascii="Times New Roman" w:hAnsi="Times New Roman" w:eastAsia="Times New Roman" w:cs="Times New Roman"/>
          <w:lang w:eastAsia="ru-RU"/>
        </w:rPr>
        <w:t xml:space="preserve">ЛСР (ЛС), приводятся в рублях,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9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базисно-индексном методе, с округлением до двух знаков после запятой (до копеек);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9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затрат - с округлением до целых единиц;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9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 сводной смете - в рублях с округлением до целых единиц.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Командировочные расходы, учтенные в смете, подтверждаются отдельным расчетом.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Лимиты командировочных расходов при производстве ПИР: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суточные - 700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проживание – 6000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  <w:t xml:space="preserve">Данные лимиты могут быть пересмотрены на этапе согласования технических требований.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одновременной разработке проектной и полной или частичной разработке рабочей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документации, суммарный</w:t>
      </w:r>
      <w:r>
        <w:rPr>
          <w:rFonts w:ascii="Times New Roman" w:hAnsi="Times New Roman" w:eastAsia="Times New Roman" w:cs="Times New Roman"/>
          <w:lang w:eastAsia="ru-RU"/>
        </w:rPr>
        <w:t xml:space="preserve">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Выполнение обследований и обмерных работ на объектах, подлежащих реконструкции,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главу 1 ССРСС.</w:t>
      </w:r>
      <w:r>
        <w:rPr>
          <w:rFonts w:ascii="Times New Roman" w:hAnsi="Times New Roman" w:eastAsia="Times New Roman" w:cs="Times New Roman"/>
          <w:lang w:eastAsia="ru-RU"/>
        </w:rPr>
        <w:t xml:space="preserve"> Стоимость данных работ не включается в расчет стоимости проведения государственной экспертизы.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1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проектных и изыскательских работ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ПОЯСНИТЕЛЬНАЯ ЗАПИСКА 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по заполнению формы №3п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 при составлении смет на ПИР.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ind w:firstLine="540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Расчетом по трудозатратам (форма №3п) рекомендуется определять стоимость работ, цены на которые отсутствуют в СБЦ и СЦ, внесенных в ФРСН.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Форма сметы для определения затрат по себестоимости и уровню рентабельности (форма 3п) приведена в образце 3П Приложения 2.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 w:eastAsia="Times New Roman" w:cs="Times New Roman"/>
          <w:u w:val="single"/>
          <w:lang w:eastAsia="ru-RU"/>
        </w:rPr>
        <w:t xml:space="preserve">округлять до целых рублей.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Особенности заполнения формы №3п.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1. Расчет заработной платы: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1 приводится нумерация выполняемых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2 приводится наименование выполняемых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3 указывается количество привлекаемых работников;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5 для каждой должностной группы (при необходимости с указание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6 приводятся данные по стоимости 1 человеко-дня в рублях по категориям работников. Стоимость 1 человеко-дня непосре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7 указывается заработная плата в рублях (</w:t>
      </w:r>
      <w:r>
        <w:rPr>
          <w:rFonts w:ascii="Times New Roman" w:hAnsi="Times New Roman" w:eastAsia="Times New Roman" w:cs="Times New Roman"/>
          <w:b/>
          <w:color w:val="000000"/>
          <w:u w:val="single"/>
          <w:lang w:eastAsia="ru-RU"/>
        </w:rPr>
        <w:t xml:space="preserve">результат перемножения граф 5 и 6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Данные по количеству человек, дней и категорий непо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2. Расчет стоимости выполнения работ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numPr>
          <w:ilvl w:val="0"/>
          <w:numId w:val="4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2.1 указывается процент заработной платы производственного персонала в составе себестоимости (</w:t>
      </w:r>
      <w:r>
        <w:rPr>
          <w:rFonts w:ascii="Times New Roman" w:hAnsi="Times New Roman" w:eastAsia="Times New Roman" w:cs="Times New Roman"/>
          <w:b/>
          <w:color w:val="000000"/>
          <w:u w:val="single"/>
          <w:lang w:eastAsia="ru-RU"/>
        </w:rPr>
        <w:t xml:space="preserve">без учета субподрядных работ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), находящийся в пределах не менее 30%–уточняется по данным организации в соответствии с бизнес-плано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уровень рентабельности по отношению к себестоимости может составлять до 15%.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3. Расчет командировочных расходов.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Командировочные расходы включаютс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Размеры возмещения расходов, связанных со служебными ко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Лимиты командировочных расходов при производстве ПИР: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суточные - 700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проживание –6000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  <w:t xml:space="preserve">Данные лимиты могут быть пересмотрены на этапе согласования технических требований.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993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color w:val="ff0000"/>
          <w:lang w:eastAsia="ru-RU"/>
        </w:rPr>
      </w:pPr>
      <w:r>
        <w:rPr>
          <w:rFonts w:ascii="Times New Roman" w:hAnsi="Times New Roman" w:eastAsia="Times New Roman" w:cs="Times New Roman"/>
          <w:color w:val="ff0000"/>
          <w:lang w:eastAsia="ru-RU"/>
        </w:rPr>
      </w:r>
      <w:r>
        <w:rPr>
          <w:rFonts w:ascii="Times New Roman" w:hAnsi="Times New Roman" w:eastAsia="Times New Roman" w:cs="Times New Roman"/>
          <w:color w:val="ff0000"/>
          <w:lang w:eastAsia="ru-RU"/>
        </w:rPr>
      </w:r>
      <w:r>
        <w:rPr>
          <w:rFonts w:ascii="Times New Roman" w:hAnsi="Times New Roman" w:eastAsia="Times New Roman" w:cs="Times New Roman"/>
          <w:color w:val="ff0000"/>
          <w:lang w:eastAsia="ru-RU"/>
        </w:rPr>
      </w:r>
    </w:p>
    <w:p>
      <w:pPr>
        <w:contextualSpacing/>
        <w:ind w:left="993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709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пояснительной записке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по заполнению формы 3П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СПРАВКА от______________ (указать дату составления справки) (Образец)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blPrEx/>
        <w:trPr>
          <w:trHeight w:val="32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Должность специалиста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Заработная плата в день, в 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63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581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63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Доля заработной платы в себестоимости работ, выполняемых собственными /силами___ (%)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Рентабельность предприятия_______ (%)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(Должность единоличного исполнительного органа контрагента/подрядчика)</w:t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(краткое/полное наименование организации) ________________ (ФИО)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м.п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(Главный бухгалтер)</w:t>
      </w:r>
      <w:r>
        <w:rPr>
          <w:rFonts w:ascii="Times New Roman" w:hAnsi="Times New Roman" w:eastAsia="Times New Roman" w:cs="Times New Roman"/>
          <w:vertAlign w:val="superscript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(краткое/полное наименование организации контрагента/подрядчика) ________________ (ФИО)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м.п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539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2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ПИР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spacing w:val="-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  <w:t xml:space="preserve">Образцы оформления сметной документации на проектные (изыскательские) работы</w:t>
      </w:r>
      <w:r>
        <w:rPr>
          <w:rFonts w:ascii="Times New Roman" w:hAnsi="Times New Roman" w:eastAsia="Times New Roman" w:cs="Times New Roman"/>
          <w:b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spacing w:val="-4"/>
          <w:lang w:eastAsia="ru-RU"/>
        </w:rPr>
      </w:r>
    </w:p>
    <w:p>
      <w:pPr>
        <w:ind w:right="565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Образец 2П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Приложение № ____к договору № _____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829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06"/>
            </w:tblGrid>
            <w:tr>
              <w:tblPrEx/>
              <w:trPr>
                <w:trHeight w:val="417"/>
              </w:trPr>
              <w:tc>
                <w:tcPr>
                  <w:tcW w:w="5283" w:type="dxa"/>
                  <w:vAlign w:val="bottom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СОГЛАСОВАНО: 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Подрядчик)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__________________ Ф.И.О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  <w:tc>
                <w:tcPr>
                  <w:tcW w:w="3006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УТВЕРЖДАЮ: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Заказчик)</w:t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Ф.И.О.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br/>
              <w:t xml:space="preserve">на проектные (изыскательские) работы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проектной (изыскательской) организации__________________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  <w:pBdr>
                <w:bottom w:val="single" w:color="000000" w:sz="12" w:space="0"/>
              </w:pBd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организации заказчика__________________________________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Составлена в текущих ценах, соответствующих периоду выполнения работ по договору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right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5000" w:type="pct"/>
              <w:jc w:val="center"/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single" w:color="000000" w:sz="2" w:space="0"/>
                <w:insideV w:val="single" w:color="000000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  <w:gridCol w:w="1951"/>
              <w:gridCol w:w="3062"/>
              <w:gridCol w:w="1816"/>
              <w:gridCol w:w="1070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№ пп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Характеристика предприятия, здания, сооружения или виды работ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Расчет стоимости: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br/>
                    <w:t xml:space="preserve"> (a + bx)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K</w:t>
                  </w:r>
                  <w:r>
                    <w:rPr>
                      <w:rFonts w:ascii="Times New Roman" w:hAnsi="Times New Roman" w:eastAsia="Times New Roman" w:cs="Times New Roman"/>
                      <w:vertAlign w:val="subscript"/>
                      <w:lang w:eastAsia="ru-RU"/>
                    </w:rPr>
                    <w:t xml:space="preserve">i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, или (объем строительно-монтажных работ)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проц.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Стоимость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226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179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100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или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количество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цена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Составил:___________/должность, организация/____________/подпись/___________/расшифровка подписи/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Проверил:___________/должность, организация/___________/подпись/________/расшифровка подписи/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4" w:right="1700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Образец 3П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Приложение к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_(договору, дополнительному соглашению)_________________________________________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76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>
              <w:tblPrEx/>
              <w:trPr>
                <w:trHeight w:val="417"/>
              </w:trPr>
              <w:tc>
                <w:tcPr>
                  <w:tcW w:w="4858" w:type="dxa"/>
                  <w:vAlign w:val="bottom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СОГЛАСОВАНО: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 (Подрядчик)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Ф.И.О.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  <w:tc>
                <w:tcPr>
                  <w:tcW w:w="420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УТВЕРЖДАЮ: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Заказчик)</w:t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br/>
              <w:t xml:space="preserve">на проектные (изыскательские) работы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проектной (изыскательской) организации__________________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  <w:pBdr>
                <w:bottom w:val="single" w:color="000000" w:sz="12" w:space="0"/>
              </w:pBd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организации заказчика__________________________________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Составлена в текущих ценах, соответствующих периоду выполнения работ по договору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1. Расчет заработной платы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  <w:t xml:space="preserve">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5000" w:type="pct"/>
              <w:jc w:val="center"/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single" w:color="000000" w:sz="2" w:space="0"/>
                <w:insideV w:val="single" w:color="000000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2114"/>
              <w:gridCol w:w="1126"/>
              <w:gridCol w:w="1069"/>
              <w:gridCol w:w="1252"/>
              <w:gridCol w:w="1253"/>
              <w:gridCol w:w="1753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№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п.п.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Перечень выполняемых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gridSpan w:val="2"/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203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Исполнители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Количество человеко-дней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Средняя оплата труда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 за 1 день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Оплата труда (всего)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304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количество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должность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6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7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заработной платы, в руб.______________________________________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2. Расчет стоимости выполнения работ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 Процент заработной платы в составе себестоимости, %_______________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 Себестоимость работ____________________________________________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2.3 Уровень рентабельности, %______________________________________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Итого: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 Командировочные расходы (по расчету)_____________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Всего (руб.)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firstLine="2070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(сумма прописью)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Составил:______________/должность, организация/__________/подпись/_______/расшифровка подписи/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Проверил:___________/должность, организация/_____________/подпись/_______ /расшифровка подписи/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Приложение №2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 пояснительной записке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по заполнению формы 3П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6373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pP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                                 Образец расчета командировочных расходов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hanging="567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Приложение № __ к смете № __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hanging="567"/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Расчет командировочных расходов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10661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№ пп.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Пункт назначения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(туда / обратно)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 транспорта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проезда, руб. 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 дней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суточных, руб./сут.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проживания руб./сут.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 командировок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left="-389" w:firstLine="285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командированванных человек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9"/>
            <w:shd w:val="clear" w:color="ffffff" w:fill="ffffff"/>
            <w:tcW w:w="93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1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1 в пункт 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2 в пункт 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4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стоимость командировочных расходов из пункта 1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217"/>
        </w:trPr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081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9"/>
            <w:shd w:val="clear" w:color="ffffff" w:fill="ffffff"/>
            <w:tcW w:w="93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081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5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5 в пункт 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4 в пункт 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2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стоимость командировочных расходов из пункта 5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Всего стоимость командировочных расходов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</w:tbl>
    <w:p>
      <w:pPr>
        <w:ind w:left="5812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2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3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ПИР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tbl>
      <w:tblPr>
        <w:tblW w:w="14853" w:type="dxa"/>
        <w:tblInd w:w="93" w:type="dxa"/>
        <w:tblLook w:val="0000" w:firstRow="0" w:lastRow="0" w:firstColumn="0" w:lastColumn="0" w:noHBand="0" w:noVBand="0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>
        <w:tblPrEx/>
        <w:trPr>
          <w:gridAfter w:val="2"/>
          <w:trHeight w:val="20"/>
        </w:trPr>
        <w:tc>
          <w:tcPr>
            <w:tcW w:w="922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к Договору                   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                от___ ______202___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    № _________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СОГЛАСОВАН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3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18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401" w:type="dxa"/>
            <w:textDirection w:val="lrTb"/>
            <w:noWrap w:val="false"/>
          </w:tcPr>
          <w:p>
            <w:pPr>
              <w:ind w:left="-526" w:hanging="1332"/>
              <w:jc w:val="right"/>
              <w:spacing w:after="0" w:line="240" w:lineRule="auto"/>
              <w:tabs>
                <w:tab w:val="left" w:pos="627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gridAfter w:val="1"/>
          <w:trHeight w:val="70"/>
        </w:trPr>
        <w:tc>
          <w:tcPr>
            <w:tcW w:w="922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3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tcW w:w="328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52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1653" w:type="dxa"/>
            <w:textDirection w:val="lrTb"/>
            <w:noWrap w:val="false"/>
          </w:tcPr>
          <w:tbl>
            <w:tblPr>
              <w:tblW w:w="0" w:type="auto"/>
              <w:tblCellMar>
                <w:left w:w="62" w:type="dxa"/>
                <w:top w:w="102" w:type="dxa"/>
                <w:right w:w="62" w:type="dxa"/>
                <w:bottom w:w="10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>
              <w:tblPrEx/>
              <w:trPr>
                <w:gridAfter w:val="2"/>
              </w:trPr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61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СВОДНАЯ СМЕТА №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 проектные работы и 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5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040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5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04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стройки)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369" w:type="dxa"/>
                  <w:textDirection w:val="lrTb"/>
                  <w:noWrap w:val="false"/>
                </w:tcPr>
                <w:p>
                  <w:pPr>
                    <w:ind w:firstLine="3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791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369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7918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8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3467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Изыскательская организация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8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582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6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975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Проектная организация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6312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  <w:trHeight w:val="35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3"/>
              </w:trPr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93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004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Составлена в уровне цен на ________________ 20__ г.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45"/>
              </w:trPr>
              <w:tc>
                <w:tcPr>
                  <w:gridSpan w:val="3"/>
                  <w:tcW w:w="1180" w:type="dxa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N№ п/п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 на проектные работы и инженерные изыскания, затрат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Обоснование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7"/>
                  <w:tcW w:w="467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Сметная стоимость, руб.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74"/>
              </w:trPr>
              <w:tc>
                <w:tcPr>
                  <w:gridSpan w:val="3"/>
                  <w:tcW w:w="1180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инженерных изысканий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проектных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432"/>
              </w:trPr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281"/>
              </w:trPr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Проектная документация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проектные работы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23"/>
              </w:trPr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III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Рабочая документация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проектные работы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Borders>
                    <w:bottom w:val="single" w:color="000000" w:sz="4" w:space="0"/>
                  </w:tcBorders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Итого по видам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Borders>
                    <w:bottom w:val="single" w:color="000000" w:sz="4" w:space="0"/>
                  </w:tcBorders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Borders>
                    <w:bottom w:val="single" w:color="000000" w:sz="4" w:space="0"/>
                  </w:tcBorders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Borders>
                    <w:bottom w:val="single" w:color="000000" w:sz="4" w:space="0"/>
                  </w:tcBorders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32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ВСЕГО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Borders>
                    <w:bottom w:val="single" w:color="000000" w:sz="4" w:space="0"/>
                  </w:tcBorders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7"/>
                  <w:tcBorders>
                    <w:bottom w:val="single" w:color="000000" w:sz="4" w:space="0"/>
                  </w:tcBorders>
                  <w:tcW w:w="467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466"/>
              </w:trPr>
              <w:tc>
                <w:tcPr>
                  <w:gridSpan w:val="8"/>
                  <w:tcBorders>
                    <w:top w:val="single" w:color="000000" w:sz="4" w:space="0"/>
                  </w:tcBorders>
                  <w:tcW w:w="384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Руководитель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проектной организации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Borders>
                    <w:top w:val="single" w:color="000000" w:sz="4" w:space="0"/>
                  </w:tcBorders>
                  <w:tcW w:w="612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Главный инженер проекта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21"/>
              </w:trPr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Начальник отдела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071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2"/>
                  <w:tcW w:w="188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6"/>
                  <w:tcW w:w="459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47"/>
              </w:trPr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071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922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857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W w:w="785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W w:w="785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[должность, 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ind w:right="-5522" w:firstLine="720"/>
              <w:spacing w:after="0" w:line="240" w:lineRule="auto"/>
              <w:widowControl w:val="off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right w:val="none" w:color="000000" w:sz="4" w:space="0"/>
            </w:tcBorders>
            <w:tcW w:w="3200" w:type="dxa"/>
            <w:textDirection w:val="lrTb"/>
            <w:noWrap w:val="false"/>
          </w:tcPr>
          <w:p>
            <w:pPr>
              <w:ind w:firstLine="72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</w:p>
    <w:p>
      <w:r/>
      <w:r/>
    </w:p>
    <w:p>
      <w:pPr>
        <w:jc w:val="both"/>
        <w:widowControl w:val="off"/>
        <w:rPr>
          <w:rFonts w:cs="Arial"/>
          <w:sz w:val="20"/>
          <w:szCs w:val="20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709" w:footer="709" w:gutter="0"/>
          <w:cols w:num="1" w:sep="0" w:space="708" w:equalWidth="1"/>
          <w:docGrid w:linePitch="360"/>
        </w:sectPr>
      </w:pP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Требования к составлению сметной документации в составе рабочей документации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: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не допускается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кроме случаев, прямо указанных в настоящих требованиях.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должна быть не ниже 2021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составлении смет руководствова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num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составлении сметной документации необходимо использовать сметно-нормативную базу «ФЕР 202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2» актуальной редакции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применением индексов перевода по данным ФГИС ЦС на момент составления сметной документации</w:t>
      </w:r>
      <w:bookmarkStart w:id="4" w:name="_GoBack"/>
      <w:r>
        <w:rPr>
          <w:rFonts w:ascii="Times New Roman" w:hAnsi="Times New Roman" w:eastAsia="Times New Roman" w:cs="Times New Roman"/>
          <w:sz w:val="28"/>
          <w:szCs w:val="28"/>
        </w:rPr>
      </w:r>
      <w:bookmarkEnd w:id="4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Определение сметной стоимости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работ при новом строительстве возможно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следующими методами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1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num" w:pos="1277" w:leader="none"/>
          <w:tab w:val="clear" w:pos="1844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Ресурсно-индексным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ресурсно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отсутствия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труда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для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ЕНиР и ВНиР определ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ять аналогично примененному в сметной документации методу расчета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с тарифными ставками сборника «Показатели часовой оплаты труда» (далее - ТС 2001), внесенного в ФРСН.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При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отсутствии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информации о сметных ценах в ФГИС ЦС и ФССЦ по материальным ресурсам и оборудованию, их сметная цена формируется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bookmarkStart w:id="5" w:name="_Hlk86254576"/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bookmarkEnd w:id="5"/>
      <w:r>
        <w:rPr>
          <w:rFonts w:ascii="Times New Roman" w:hAnsi="Times New Roman" w:eastAsia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 сметной документацией в случае учета в сметах материалов поставки Подрядчика по текущим ценам - дополнительно должны быть направлен анализ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 предложениями от трех поставщиков каждой единицы продукции и документы, подтверждающие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определении сметной стоимости в 2-х уровнях цен (текущем и базисном),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стоимость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указанных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материальных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ресурсов и оборудования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num" w:pos="284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Транспортные затраты определяются следующими методами: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 доставке материальных ресурсов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размере до 3-х процентов от отпускной цены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материальных ресурсов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(при невозможности определить затраты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указанными выше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способами),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решению заказчика.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firstLine="709"/>
        <w:jc w:val="both"/>
        <w:spacing w:before="40" w:after="40"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.2.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по доставке оборудования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размере до 3-х процентов от отпускной цены оборудования (при невозможности определить затраты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указанными выше способами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), по решению заказчика.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Если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транспортировка осуществляется заказчиком самостоятельно (самовывоз), данный показатель не учитывается.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2% - для материальных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ресурсов (кроме металлоконструкций);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0,75% - для металлоконструкций;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1,2% - для оборудования.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993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Затраты на эксплуатацию строительной техники, не учтенной нормами и расценками, включенными в ФРСН, определяются Методом анализа ТКП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 включаются в Главу 9 ССРСС.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26"/>
        </w:numPr>
        <w:ind w:left="0" w:firstLine="993"/>
        <w:jc w:val="both"/>
        <w:tabs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 предоставляемым грузоподъемным механизмам, учтенным в составе сметных норм и расценок: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•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Исключать из норм и расценок предоставляемые грузоподъемные механизмы.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использования подрядчиком собственных/арендованных механизмов полностью, либо частично, для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выполнения конкретной работы на строительной площадке, из расценки на выполнение данных работ грузоподъемные механизмы не исключаются Также из расценок включенных в ФРСН подлежат исключению давальческие материалы – вода, вода химочищенная, электроэнергия.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 формировании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ascii="Times New Roman" w:hAnsi="Times New Roman" w:eastAsia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применении коэффициенты перемножаются, результат округляется до семи знаков после запятой.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Затраты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на возведение временных зданий и сооружений учитывать в том случае, если они указаны в ПОС, ТТ. Размер средств на устройство и ликвидацию временных зданий и сооружений определяются одним из способов: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нормативным методом с применением нормативов затрат на строительство титульных временных зданий и сооружений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сведения о которых включены в ФРСН, расчетным методом - на основании ЛСР (ЛС) или калькуляций, в соответствии с данными ПОС. Порядок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расчета за возведенные временные здания и сооружения оговаривать в договоре подряда.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993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формировании цены по сборникам ГЭСН(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ГЭСН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ГЭСН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ГЭСН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п) нормативы сметной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прибыли принимать на СМР – 40% от ФОТ, на ПНР – 36% от ФОТ.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Сметная стоимость пусконаладочных работ определяется на основании утвержденных заказчиком программы и графика.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VII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Методики определения сметной стоимости строительства: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5"/>
        </w:numPr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Затраты на проведение пусконаладочных работ «вхолостую» по объектам производственного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5"/>
        </w:numPr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Пусконаладочные работы «под нагрузкой»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для объектов производственного и непроизводственного назначения, связанных с получением дохода от реализации товаров (услуг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 относятся на сметную стоимость строительства, отображаются справочно и в сметной документации не учитываются.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Размер командировочных расходов учитывать в размере 3,74% от итогов глав 1-9 без учета стоимости оборудования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ind w:firstLine="709"/>
        <w:jc w:val="both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6" w:name="_Hlk147744488"/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21.1 При производстве СМР и ПНР лимиты командировочных расходов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на стадии расчетов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принимать в размере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  <w:t xml:space="preserve">не более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: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суточные – 5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00 руб./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сутки;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проживание – 55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0 руб./сутки;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проезд: поезд (купе) или самолет (класс–эконом с багажом до 20 (двадцати) кг, ручная кладь до 10 (десяти) кг).</w:t>
      </w:r>
      <w:bookmarkEnd w:id="6"/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или складирования) и разгрузки строитель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7" w:name="_Ref19086149"/>
      <w:r>
        <w:rPr>
          <w:rFonts w:ascii="Times New Roman" w:hAnsi="Times New Roman" w:eastAsia="Times New Roman" w:cs="Times New Roman"/>
          <w:sz w:val="28"/>
          <w:szCs w:val="28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округлять:</w:t>
      </w:r>
      <w:bookmarkEnd w:id="7"/>
      <w:r>
        <w:rPr>
          <w:rFonts w:ascii="Times New Roman" w:hAnsi="Times New Roman" w:cs="Times New Roman"/>
          <w:b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sz w:val="28"/>
          <w:szCs w:val="28"/>
          <w:u w:val="single"/>
        </w:rPr>
      </w:r>
    </w:p>
    <w:p>
      <w:pPr>
        <w:pStyle w:val="1072"/>
        <w:numPr>
          <w:ilvl w:val="0"/>
          <w:numId w:val="36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в рублях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до целых единиц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6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рублях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до двух знаков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после запятой.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Выходные формы сметных расчетов должны соответствовать Образцам по приложениям 1.5.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1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left" w:pos="1134" w:leader="none"/>
          <w:tab w:val="clear" w:pos="184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Из норм и расценок, внесенных в ФРСН, при составлении сметной документации исключать затраты: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2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clear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 предоставляемой электроэнергии размер возврата определять исходя из расчета, предоставляемого заказчиком по отдельному запросу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37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Индекс пересчета в текущие цены применять аналогичный примененному в сметной документации.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37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применении индексов по статьям затрат в сметной документации для данного ресурса применять индекс на материалы.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2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clear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 предоставляемому сжатому воздуху: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38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Из норм и расценок исключать стоимость компрессоров.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left="709" w:firstLine="0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25.1.3. По предоставляемым грузоподъемным механизмам: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38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Из норм и расценок исключать стоимость предоставляемых грузоподъемных механизмов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left="709" w:firstLine="0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142" w:right="0" w:firstLine="425"/>
        <w:jc w:val="both"/>
        <w:spacing w:before="40" w:after="40"/>
        <w:widowControl/>
        <w:tabs>
          <w:tab w:val="num" w:pos="1134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   26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left="142" w:firstLine="0"/>
        <w:jc w:val="both"/>
        <w:spacing w:before="40" w:after="40"/>
        <w:tabs>
          <w:tab w:val="left" w:pos="709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     27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.При наличии двух и более сметных расчетов составлять ССР в текущем уровне цен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форме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Приложения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1.1 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ЛСР (ЛС) разрабатываются отдельно на исключаемые и дополнительные объемы работ. К сме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ЛС являются приложениями к ССР. Нумерация приложений указывается по мере включения ЛС в ССР в накопительной форме - по порядку.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ССР, построчные и итоговые суммы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указывать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рублях с округлением до двух знаков после запятой. Величину НДС не указывать.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54"/>
        <w:numPr>
          <w:ilvl w:val="0"/>
          <w:numId w:val="39"/>
        </w:numPr>
        <w:contextualSpacing w:val="0"/>
        <w:ind w:left="0" w:firstLine="709"/>
        <w:jc w:val="both"/>
        <w:spacing w:before="40" w:after="40"/>
        <w:tabs>
          <w:tab w:val="left" w:pos="709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Сметная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документация должна быть представлена в двух вариантах: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4"/>
        </w:numPr>
        <w:jc w:val="both"/>
        <w:spacing w:before="40" w:after="40"/>
        <w:tabs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бумажном носителе (количество указано в конкурсной документации) Образец ЛСР в соответствии с приложением № 1.5 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spacing w:before="40" w:after="40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электронном носителе (в формате «xml» ПК «Гранд-Смета», «Excel», «pdf»),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полностью соответствующему, бумажному варианту. Сметная документация в формате «Exce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l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 должна быть представлена в одном файле с внесением ССР, ЛСР и других расчетов на отдельные листы (вкладки) документа.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spacing w:before="40" w:after="40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формате ПК «Гранд-смета» выходная форма для печати указана ниже: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yellow"/>
        </w:rPr>
      </w:r>
    </w:p>
    <w:tbl>
      <w:tblPr>
        <w:tblStyle w:val="1011"/>
        <w:tblW w:w="0" w:type="auto"/>
        <w:tblLook w:val="04A0" w:firstRow="1" w:lastRow="0" w:firstColumn="1" w:lastColumn="0" w:noHBand="0" w:noVBand="1"/>
      </w:tblPr>
      <w:tblGrid>
        <w:gridCol w:w="5338"/>
        <w:gridCol w:w="4715"/>
      </w:tblGrid>
      <w:tr>
        <w:tblPrEx/>
        <w:trPr/>
        <w:tc>
          <w:tcPr>
            <w:tcW w:w="49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291232" cy="3355451"/>
                      <wp:effectExtent l="0" t="0" r="4445" b="0"/>
                      <wp:docPr id="1" name="Рисунок 2" descr="cid:image001.jpg@01D771AB.FE884A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2" descr="cid:image001.jpg@01D771AB.FE884A10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5"/>
                              <a:srcRect l="0" t="0" r="45819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386034" cy="34521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59.15pt;height:264.21pt;mso-wrap-distance-left:0.00pt;mso-wrap-distance-top:0.00pt;mso-wrap-distance-right:0.00pt;mso-wrap-distance-bottom:0.00pt;" stroked="f">
                      <v:path textboxrect="0,0,0,0"/>
                      <v:imagedata r:id="rId15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W w:w="49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object w:dxaOrig="4619" w:dyaOrig="5184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" o:spid="_x0000_s1" type="#_x0000_t75" style="width:228.00pt;height:258.00pt;mso-wrap-distance-left:0.00pt;mso-wrap-distance-top:0.00pt;mso-wrap-distance-right:0.00pt;mso-wrap-distance-bottom:0.00pt;" filled="f" stroked="f">
                  <v:path textboxrect="0,0,0,0"/>
                  <v:imagedata r:id="rId16" o:title=""/>
                </v:shape>
                <o:OLEObject DrawAspect="Content" r:id="rId17" ObjectID="_1525041" ProgID="PBrush" ShapeID="_x0000_i1" Type="Embed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</w:p>
        </w:tc>
      </w:tr>
    </w:tbl>
    <w:p>
      <w:pPr>
        <w:pStyle w:val="1072"/>
        <w:ind w:left="567"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ind w:left="928" w:right="66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№1.1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928" w:right="666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5834" w:type="dxa"/>
        <w:tblLook w:val="04A0" w:firstRow="1" w:lastRow="0" w:firstColumn="1" w:lastColumn="0" w:noHBand="0" w:noVBand="1"/>
      </w:tblPr>
      <w:tblGrid>
        <w:gridCol w:w="1239"/>
        <w:gridCol w:w="72"/>
        <w:gridCol w:w="1635"/>
        <w:gridCol w:w="584"/>
        <w:gridCol w:w="2842"/>
        <w:gridCol w:w="104"/>
        <w:gridCol w:w="13"/>
        <w:gridCol w:w="1524"/>
        <w:gridCol w:w="131"/>
        <w:gridCol w:w="13"/>
        <w:gridCol w:w="1677"/>
        <w:gridCol w:w="69"/>
        <w:gridCol w:w="13"/>
        <w:gridCol w:w="1839"/>
        <w:gridCol w:w="13"/>
        <w:gridCol w:w="33"/>
        <w:gridCol w:w="1931"/>
        <w:gridCol w:w="13"/>
        <w:gridCol w:w="293"/>
        <w:gridCol w:w="1668"/>
        <w:gridCol w:w="9"/>
        <w:gridCol w:w="119"/>
      </w:tblGrid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ОБРАЗЕЦ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51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Приложение __ от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 Договору № _________ от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___________________ФИО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8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"_______" _____________ 20___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9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"______" ____________________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Сводный сметный расчет в сумме:______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14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10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20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7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Составлен в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Номера сметных расчетов и смет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глав, объектов,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Общая 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6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строительных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оборудования, мебели, инвентаря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94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Глава 2. Основные объекты строительства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02-01-01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4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Главе 2. "Основные объекты строительства"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Главам 1-12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Непредвиденные затраты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с учетом "Непредвиденные затраты"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сводному расчету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7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4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6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Проверил: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4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6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3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</w:tbl>
    <w:p>
      <w:pPr>
        <w:pStyle w:val="1054"/>
        <w:ind w:left="92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object w:dxaOrig="1680" w:dyaOrig="1094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85.50pt;height:53.25pt;mso-wrap-distance-left:0.00pt;mso-wrap-distance-top:0.00pt;mso-wrap-distance-right:0.00pt;mso-wrap-distance-bottom:0.00pt;" filled="f" stroked="f">
            <v:path textboxrect="0,0,0,0"/>
            <v:imagedata r:id="rId18" o:title=""/>
          </v:shape>
          <o:OLEObject DrawAspect="Icon" ObjectID="_1525042" ProgID="Excel.Sheet.12" ShapeID="_x0000_i2" Type="Embed"/>
        </w:objec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1276" w:right="851" w:bottom="567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864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1.2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6199" w:type="dxa"/>
        <w:tblInd w:w="142" w:type="dxa"/>
        <w:tblLook w:val="04A0" w:firstRow="1" w:lastRow="0" w:firstColumn="1" w:lastColumn="0" w:noHBand="0" w:noVBand="1"/>
      </w:tblPr>
      <w:tblGrid>
        <w:gridCol w:w="722"/>
        <w:gridCol w:w="219"/>
        <w:gridCol w:w="1445"/>
        <w:gridCol w:w="220"/>
        <w:gridCol w:w="3264"/>
        <w:gridCol w:w="236"/>
        <w:gridCol w:w="216"/>
        <w:gridCol w:w="1208"/>
        <w:gridCol w:w="1843"/>
        <w:gridCol w:w="245"/>
        <w:gridCol w:w="823"/>
        <w:gridCol w:w="916"/>
        <w:gridCol w:w="257"/>
        <w:gridCol w:w="534"/>
        <w:gridCol w:w="220"/>
        <w:gridCol w:w="838"/>
        <w:gridCol w:w="419"/>
        <w:gridCol w:w="20"/>
        <w:gridCol w:w="434"/>
        <w:gridCol w:w="439"/>
        <w:gridCol w:w="216"/>
        <w:gridCol w:w="717"/>
        <w:gridCol w:w="748"/>
      </w:tblGrid>
      <w:tr>
        <w:tblPrEx/>
        <w:trPr>
          <w:trHeight w:val="78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 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22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"___" 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"___" 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6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7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8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3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3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9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Сводный сметный расчет в сумме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5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8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34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               (наименование стройки)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1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68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Составлен в 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Номера сметных расчетов и смет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глав, объектов,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75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26" w:type="dxa"/>
            <w:vAlign w:val="center"/>
            <w:vMerge w:val="restart"/>
            <w:textDirection w:val="lrTb"/>
            <w:noWrap w:val="false"/>
          </w:tcPr>
          <w:p>
            <w:pPr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Общая сметная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стоимость,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59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строитель-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оборудования, мебели, инвентаря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vMerge w:val="continue"/>
            <w:textDirection w:val="lrTb"/>
            <w:noWrap w:val="false"/>
          </w:tcPr>
          <w:p>
            <w:pPr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72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4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Глава 2. Основные объекты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4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Сметы основного договора: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Исключить дополнительным соглашением №___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40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исключено Дополнительным соглашением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435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Включить дополнительным соглашением №____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№02-01-02/1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включено Дополнительным соглашением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22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Главе 2. "Основные объекты"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Всего по сводному сметному расчету, без учета НДС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сумма основного договора (без НДС)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77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ДС №___ от ___.__.20___г.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сумма увеличения основного договора на основании дополнительного соглашения № ___ без НДС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0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Проверил: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6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</w:tbl>
    <w:p>
      <w:pPr>
        <w:pStyle w:val="10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object w:dxaOrig="1525" w:dyaOrig="99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" o:spid="_x0000_s3" type="#_x0000_t75" style="width:78.00pt;height:48.00pt;mso-wrap-distance-left:0.00pt;mso-wrap-distance-top:0.00pt;mso-wrap-distance-right:0.00pt;mso-wrap-distance-bottom:0.00pt;" filled="f" stroked="f">
            <v:path textboxrect="0,0,0,0"/>
            <v:imagedata r:id="rId20" o:title=""/>
          </v:shape>
          <o:OLEObject DrawAspect="Icon" ObjectID="_1525043" ProgID="Excel.Sheet.12" ShapeID="_x0000_i3" Type="Embed"/>
        </w:objec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284" w:right="851" w:bottom="709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8" w:name="P3258"/>
      <w:r>
        <w:rPr>
          <w:rFonts w:ascii="Times New Roman" w:hAnsi="Times New Roman" w:eastAsia="Times New Roman" w:cs="Times New Roman"/>
          <w:sz w:val="28"/>
          <w:szCs w:val="28"/>
        </w:rPr>
      </w:r>
      <w:bookmarkStart w:id="9" w:name="P2506"/>
      <w:r>
        <w:rPr>
          <w:rFonts w:ascii="Times New Roman" w:hAnsi="Times New Roman" w:eastAsia="Times New Roman" w:cs="Times New Roman"/>
          <w:sz w:val="28"/>
          <w:szCs w:val="28"/>
        </w:rPr>
      </w:r>
      <w:bookmarkStart w:id="10" w:name="P2522"/>
      <w:r>
        <w:rPr>
          <w:rFonts w:ascii="Times New Roman" w:hAnsi="Times New Roman" w:eastAsia="Times New Roman" w:cs="Times New Roman"/>
          <w:sz w:val="28"/>
          <w:szCs w:val="28"/>
        </w:rPr>
      </w:r>
      <w:bookmarkStart w:id="11" w:name="P2523"/>
      <w:r>
        <w:rPr>
          <w:rFonts w:ascii="Times New Roman" w:hAnsi="Times New Roman" w:eastAsia="Times New Roman" w:cs="Times New Roman"/>
          <w:sz w:val="28"/>
          <w:szCs w:val="28"/>
        </w:rPr>
      </w:r>
      <w:bookmarkStart w:id="12" w:name="P2524"/>
      <w:r>
        <w:rPr>
          <w:rFonts w:ascii="Times New Roman" w:hAnsi="Times New Roman" w:eastAsia="Times New Roman" w:cs="Times New Roman"/>
          <w:sz w:val="28"/>
          <w:szCs w:val="28"/>
        </w:rPr>
      </w:r>
      <w:bookmarkStart w:id="13" w:name="P2525"/>
      <w:r>
        <w:rPr>
          <w:rFonts w:ascii="Times New Roman" w:hAnsi="Times New Roman" w:eastAsia="Times New Roman" w:cs="Times New Roman"/>
          <w:sz w:val="28"/>
          <w:szCs w:val="28"/>
        </w:rPr>
      </w:r>
      <w:bookmarkStart w:id="14" w:name="P2526"/>
      <w:r>
        <w:rPr>
          <w:rFonts w:ascii="Times New Roman" w:hAnsi="Times New Roman" w:eastAsia="Times New Roman" w:cs="Times New Roman"/>
          <w:sz w:val="28"/>
          <w:szCs w:val="28"/>
        </w:rPr>
      </w:r>
      <w:bookmarkStart w:id="15" w:name="P2527"/>
      <w:r>
        <w:rPr>
          <w:rFonts w:ascii="Times New Roman" w:hAnsi="Times New Roman" w:eastAsia="Times New Roman" w:cs="Times New Roman"/>
          <w:sz w:val="28"/>
          <w:szCs w:val="28"/>
        </w:rPr>
      </w:r>
      <w:bookmarkStart w:id="16" w:name="P2528"/>
      <w:r>
        <w:rPr>
          <w:rFonts w:ascii="Times New Roman" w:hAnsi="Times New Roman" w:eastAsia="Times New Roman" w:cs="Times New Roman"/>
          <w:sz w:val="28"/>
          <w:szCs w:val="28"/>
        </w:rPr>
      </w:r>
      <w:bookmarkStart w:id="17" w:name="P2529"/>
      <w:r>
        <w:rPr>
          <w:rFonts w:ascii="Times New Roman" w:hAnsi="Times New Roman" w:eastAsia="Times New Roman" w:cs="Times New Roman"/>
          <w:sz w:val="28"/>
          <w:szCs w:val="28"/>
        </w:rPr>
      </w:r>
      <w:bookmarkStart w:id="18" w:name="P2530"/>
      <w:r>
        <w:rPr>
          <w:rFonts w:ascii="Times New Roman" w:hAnsi="Times New Roman" w:eastAsia="Times New Roman" w:cs="Times New Roman"/>
          <w:sz w:val="28"/>
          <w:szCs w:val="28"/>
        </w:rPr>
      </w:r>
      <w:bookmarkStart w:id="19" w:name="P2531"/>
      <w:r>
        <w:rPr>
          <w:rFonts w:ascii="Times New Roman" w:hAnsi="Times New Roman" w:eastAsia="Times New Roman" w:cs="Times New Roman"/>
          <w:sz w:val="28"/>
          <w:szCs w:val="28"/>
        </w:rPr>
      </w:r>
      <w:bookmarkStart w:id="20" w:name="P2546"/>
      <w:r>
        <w:rPr>
          <w:rFonts w:ascii="Times New Roman" w:hAnsi="Times New Roman" w:eastAsia="Times New Roman" w:cs="Times New Roman"/>
          <w:sz w:val="28"/>
          <w:szCs w:val="28"/>
        </w:rPr>
      </w:r>
      <w:bookmarkStart w:id="21" w:name="P2566"/>
      <w:r>
        <w:rPr>
          <w:rFonts w:ascii="Times New Roman" w:hAnsi="Times New Roman" w:eastAsia="Times New Roman" w:cs="Times New Roman"/>
          <w:sz w:val="28"/>
          <w:szCs w:val="28"/>
        </w:rPr>
      </w:r>
      <w:bookmarkStart w:id="22" w:name="P2616"/>
      <w:r>
        <w:rPr>
          <w:rFonts w:ascii="Times New Roman" w:hAnsi="Times New Roman" w:eastAsia="Times New Roman" w:cs="Times New Roman"/>
          <w:sz w:val="28"/>
          <w:szCs w:val="28"/>
        </w:rPr>
      </w:r>
      <w:bookmarkStart w:id="23" w:name="P2736"/>
      <w:r>
        <w:rPr>
          <w:rFonts w:ascii="Times New Roman" w:hAnsi="Times New Roman" w:eastAsia="Times New Roman" w:cs="Times New Roman"/>
          <w:sz w:val="28"/>
          <w:szCs w:val="28"/>
        </w:rPr>
      </w:r>
      <w:bookmarkStart w:id="24" w:name="P2746"/>
      <w:r>
        <w:rPr>
          <w:rFonts w:ascii="Times New Roman" w:hAnsi="Times New Roman" w:eastAsia="Times New Roman" w:cs="Times New Roman"/>
          <w:sz w:val="28"/>
          <w:szCs w:val="28"/>
        </w:rPr>
      </w:r>
      <w:bookmarkStart w:id="25" w:name="P2945"/>
      <w:r>
        <w:rPr>
          <w:rFonts w:ascii="Times New Roman" w:hAnsi="Times New Roman" w:eastAsia="Times New Roman" w:cs="Times New Roman"/>
          <w:sz w:val="28"/>
          <w:szCs w:val="28"/>
        </w:rPr>
      </w:r>
      <w:bookmarkEnd w:id="8"/>
      <w:r>
        <w:rPr>
          <w:rFonts w:ascii="Times New Roman" w:hAnsi="Times New Roman" w:eastAsia="Times New Roman" w:cs="Times New Roman"/>
          <w:sz w:val="28"/>
          <w:szCs w:val="28"/>
        </w:rPr>
      </w:r>
      <w:bookmarkEnd w:id="9"/>
      <w:r>
        <w:rPr>
          <w:rFonts w:ascii="Times New Roman" w:hAnsi="Times New Roman" w:eastAsia="Times New Roman" w:cs="Times New Roman"/>
          <w:sz w:val="28"/>
          <w:szCs w:val="28"/>
        </w:rPr>
      </w:r>
      <w:bookmarkEnd w:id="10"/>
      <w:r>
        <w:rPr>
          <w:rFonts w:ascii="Times New Roman" w:hAnsi="Times New Roman" w:eastAsia="Times New Roman" w:cs="Times New Roman"/>
          <w:sz w:val="28"/>
          <w:szCs w:val="28"/>
        </w:rPr>
      </w:r>
      <w:bookmarkEnd w:id="11"/>
      <w:r>
        <w:rPr>
          <w:rFonts w:ascii="Times New Roman" w:hAnsi="Times New Roman" w:eastAsia="Times New Roman" w:cs="Times New Roman"/>
          <w:sz w:val="28"/>
          <w:szCs w:val="28"/>
        </w:rPr>
      </w:r>
      <w:bookmarkEnd w:id="12"/>
      <w:r>
        <w:rPr>
          <w:rFonts w:ascii="Times New Roman" w:hAnsi="Times New Roman" w:eastAsia="Times New Roman" w:cs="Times New Roman"/>
          <w:sz w:val="28"/>
          <w:szCs w:val="28"/>
        </w:rPr>
      </w:r>
      <w:bookmarkEnd w:id="13"/>
      <w:r>
        <w:rPr>
          <w:rFonts w:ascii="Times New Roman" w:hAnsi="Times New Roman" w:eastAsia="Times New Roman" w:cs="Times New Roman"/>
          <w:sz w:val="28"/>
          <w:szCs w:val="28"/>
        </w:rPr>
      </w:r>
      <w:bookmarkEnd w:id="14"/>
      <w:r>
        <w:rPr>
          <w:rFonts w:ascii="Times New Roman" w:hAnsi="Times New Roman" w:eastAsia="Times New Roman" w:cs="Times New Roman"/>
          <w:sz w:val="28"/>
          <w:szCs w:val="28"/>
        </w:rPr>
      </w:r>
      <w:bookmarkEnd w:id="15"/>
      <w:r>
        <w:rPr>
          <w:rFonts w:ascii="Times New Roman" w:hAnsi="Times New Roman" w:eastAsia="Times New Roman" w:cs="Times New Roman"/>
          <w:sz w:val="28"/>
          <w:szCs w:val="28"/>
        </w:rPr>
      </w:r>
      <w:bookmarkEnd w:id="16"/>
      <w:r>
        <w:rPr>
          <w:rFonts w:ascii="Times New Roman" w:hAnsi="Times New Roman" w:eastAsia="Times New Roman" w:cs="Times New Roman"/>
          <w:sz w:val="28"/>
          <w:szCs w:val="28"/>
        </w:rPr>
      </w:r>
      <w:bookmarkEnd w:id="17"/>
      <w:r>
        <w:rPr>
          <w:rFonts w:ascii="Times New Roman" w:hAnsi="Times New Roman" w:eastAsia="Times New Roman" w:cs="Times New Roman"/>
          <w:sz w:val="28"/>
          <w:szCs w:val="28"/>
        </w:rPr>
      </w:r>
      <w:bookmarkEnd w:id="18"/>
      <w:r>
        <w:rPr>
          <w:rFonts w:ascii="Times New Roman" w:hAnsi="Times New Roman" w:eastAsia="Times New Roman" w:cs="Times New Roman"/>
          <w:sz w:val="28"/>
          <w:szCs w:val="28"/>
        </w:rPr>
      </w:r>
      <w:bookmarkEnd w:id="19"/>
      <w:r>
        <w:rPr>
          <w:rFonts w:ascii="Times New Roman" w:hAnsi="Times New Roman" w:eastAsia="Times New Roman" w:cs="Times New Roman"/>
          <w:sz w:val="28"/>
          <w:szCs w:val="28"/>
        </w:rPr>
      </w:r>
      <w:bookmarkEnd w:id="20"/>
      <w:r>
        <w:rPr>
          <w:rFonts w:ascii="Times New Roman" w:hAnsi="Times New Roman" w:eastAsia="Times New Roman" w:cs="Times New Roman"/>
          <w:sz w:val="28"/>
          <w:szCs w:val="28"/>
        </w:rPr>
      </w:r>
      <w:bookmarkEnd w:id="21"/>
      <w:r>
        <w:rPr>
          <w:rFonts w:ascii="Times New Roman" w:hAnsi="Times New Roman" w:eastAsia="Times New Roman" w:cs="Times New Roman"/>
          <w:sz w:val="28"/>
          <w:szCs w:val="28"/>
        </w:rPr>
      </w:r>
      <w:bookmarkEnd w:id="22"/>
      <w:r>
        <w:rPr>
          <w:rFonts w:ascii="Times New Roman" w:hAnsi="Times New Roman" w:eastAsia="Times New Roman" w:cs="Times New Roman"/>
          <w:sz w:val="28"/>
          <w:szCs w:val="28"/>
        </w:rPr>
      </w:r>
      <w:bookmarkEnd w:id="23"/>
      <w:r>
        <w:rPr>
          <w:rFonts w:ascii="Times New Roman" w:hAnsi="Times New Roman" w:eastAsia="Times New Roman" w:cs="Times New Roman"/>
          <w:sz w:val="28"/>
          <w:szCs w:val="28"/>
        </w:rPr>
      </w:r>
      <w:bookmarkEnd w:id="24"/>
      <w:r>
        <w:rPr>
          <w:rFonts w:ascii="Times New Roman" w:hAnsi="Times New Roman" w:eastAsia="Times New Roman" w:cs="Times New Roman"/>
          <w:sz w:val="28"/>
          <w:szCs w:val="28"/>
        </w:rPr>
      </w:r>
      <w:bookmarkEnd w:id="25"/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№1.3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дополнительному соглашению от ___ № 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к договору от_______№_____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Сопоставительная ведомость изменения сметной стоимости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206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>
        <w:tblPrEx/>
        <w:trPr>
          <w:trHeight w:val="433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tcW w:w="297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29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Разница в сметной стоимости,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Обоснование изменений сметной стоимости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25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шифр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позиции сметного расчета (сметы) в ССР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подлежащая включению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подлежащая исключению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2127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№1.4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дополнительному соглашению от ___ № 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договору от_______№_____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Сопоставительная ведомость объемов работ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773" w:type="dxa"/>
        <w:tblInd w:w="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>
        <w:tblPrEx/>
        <w:trPr>
          <w:trHeight w:val="880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pStyle w:val="1072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tcW w:w="3686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ind w:hanging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Ед. изм.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1701" w:type="dxa"/>
            <w:vMerge w:val="restart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Объем работ в сметной документации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1276" w:type="dxa"/>
            <w:vMerge w:val="restart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Изменение объемов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Обоснование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72"/>
              <w:ind w:left="1360" w:hanging="14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Примечание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72"/>
              <w:ind w:left="-7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шифр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1072"/>
              <w:ind w:left="-6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2126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позиции в сметном расчете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127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1308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07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07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ind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72"/>
              <w:ind w:left="-8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1072"/>
              <w:ind w:left="-8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снижение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32"/>
        </w:trPr>
        <w:tc>
          <w:tcPr>
            <w:tcW w:w="425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1072"/>
        <w:jc w:val="both"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284" w:right="924" w:bottom="720" w:left="42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Приложение№1.5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firstLine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10348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ОБРАЗЕЦ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6"/>
        <w:gridCol w:w="1320"/>
        <w:gridCol w:w="692"/>
        <w:gridCol w:w="2821"/>
        <w:gridCol w:w="850"/>
        <w:gridCol w:w="1101"/>
        <w:gridCol w:w="666"/>
        <w:gridCol w:w="1044"/>
        <w:gridCol w:w="1085"/>
        <w:gridCol w:w="666"/>
        <w:gridCol w:w="1044"/>
        <w:gridCol w:w="508"/>
        <w:gridCol w:w="689"/>
        <w:gridCol w:w="2243"/>
      </w:tblGrid>
      <w:tr>
        <w:tblPrEx/>
        <w:trPr>
          <w:trHeight w:val="28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3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81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3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3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"_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____" _____________2021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"_____" ________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2021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редакции сметных нормативов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8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0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программного продукта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5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ПК "ГРАНД-Смета 2021"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объекта капитального строительства)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480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ЛОКАЛЬНЫЙ СМЕТНЫЙ РАСЧЕТ (СМЕТА)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70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конструктивного решения)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Составлен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методом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Основание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38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3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(проектная и (или) иная техническая документация)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Составлен(а) в текущем (базисном) уровне цен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соответст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ующих периоду выполнения работ по договору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Сметная стоимость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строительных работ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Средства на оплату труда рабочих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Нормативные затраты труда рабочих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чел.час.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оборудования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Нормативные затраты труда машинистов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чел.час.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прочих затрат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Расчетный измеритель конструктивного решения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9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7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Обоснование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Количество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Сметная стоимость в базисном уровне цен (в текущем уровне цен (гр. 8) для ресурсов, отсутствующих в СНБ), 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Индексы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Сметная стоимость в текущем уровне цен, 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 единицу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коэффициенты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всего с учетом коэффициентов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 единицу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коэффициенты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всего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426" w:right="253" w:bottom="924" w:left="720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риложение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№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2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142" w:firstLine="4820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142" w:firstLine="4820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142" w:hanging="142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 № 3п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348" w:type="dxa"/>
            <w:textDirection w:val="lrTb"/>
            <w:noWrap w:val="false"/>
          </w:tcPr>
          <w:p>
            <w:pPr>
              <w:ind w:left="6523" w:hanging="28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Приложение №_____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6239" w:right="-28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 договору от ______№_______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6239" w:right="-28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(дополнительному соглашению)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3966"/>
              <w:gridCol w:w="5731"/>
            </w:tblGrid>
            <w:tr>
              <w:tblPrEx/>
              <w:trPr>
                <w:trHeight w:val="446"/>
              </w:trPr>
              <w:tc>
                <w:tcPr>
                  <w:tcW w:w="4430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  <w:t xml:space="preserve">СОГЛАСОВАНО: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________________(Подрядчик)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________________ 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Ф.И.О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5134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ind w:left="1886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  <w:t xml:space="preserve">УТВЕРЖДАЮ: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ind w:left="1886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</w:rPr>
                    <w:t xml:space="preserve">_________________(Заказчик)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r>
                </w:p>
                <w:p>
                  <w:pPr>
                    <w:ind w:left="188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_________________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Ф.И.О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</w:tc>
            </w:tr>
          </w:tbl>
          <w:p>
            <w:pPr>
              <w:jc w:val="center"/>
              <w:shd w:val="clear" w:color="auto" w:fill="ffffff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br/>
              <w:t xml:space="preserve">на шеф - монтажные работы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предприятия, здания, сооружения, вида шеф-монтажных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рабо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т_____________________________________________________________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монтажной организации 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организации заказчика 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Составлен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в 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1. Расчет заработной платы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  <w:t xml:space="preserve"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tbl>
            <w:tblPr>
              <w:tblW w:w="9649" w:type="dxa"/>
              <w:jc w:val="center"/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2" w:space="0"/>
                <w:insideV w:val="single" w:color="auto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№ п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val="en-US"/>
                    </w:rPr>
                    <w:t xml:space="preserve">/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п.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Перечень выполняемых работ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gridSpan w:val="2"/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8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Исполнители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Количество человеко-дней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Средняя оплата труда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 за 1 день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Оплата труда (всего)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W w:w="298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W w:w="1145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количество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должность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W w:w="735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W w:w="734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W w:w="901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4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6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7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</w:tbl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заработной платы, в руб. 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 Расчет стоимости выполнения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2.1 Накладные расходы, %_______________________________________________________________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2.2 Себестоимость работ 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2.3 Уровень рентабельности, % 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3. Командировочные расходы (по расчету)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Всего (руб.)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2070"/>
              <w:jc w:val="center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(сумма прописью)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Составил: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/должность,организация/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/подпись/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/расшифровка подписи/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Проверил: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/должность, организация/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/подпись/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/расшифровка подписи/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1072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142" w:firstLine="6237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ПОЯСНИТЕЛЬНАЯ ЗАПИСКА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 заполнению формы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3п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при составлении смет на шеф-монтажные, шеф-наладочные работы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40"/>
        <w:jc w:val="both"/>
        <w:tabs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При составлении сметного расчета по трудозатратам (форма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3п),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Расчетом по трудозатратам (форма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3п) рекомендуется определять стоимость работ, цены на которые отсутствуют в СБЦ и СЦ, внесенных в ФРСН.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Форма сметы для определения затрат по себестоимости и уровню рентабельности (форма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3п) приведена в образце 3П Приложения 2.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округлять до целых рублей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Особенности заполнения формы 3п.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Раздел 1. Расчет заработной платы: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1 приводится нумерация выполняемых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2 приводится наименование выполняемых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3 указывается количество привлекаемых работников;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5 для каждой должностной группы (при необходимости с указанием конкретных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6 приводятся данные по стоимости 1 человеко-дня в рублях по категориям работников. Стоимость 1 человеко-дня непосре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7 указывается заработная плата в рублях (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en-US"/>
        </w:rPr>
        <w:t xml:space="preserve">результат перемножения граф 5 и 6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Данные по к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Раздел 2. Расчет стоимости выполнения работ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пункте 2.1 указываются на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уровень рентабельности по отношению к себестоимости может составлять до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15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%.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Раздел 3. Расчет командировочных расходов.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(приложение № 2)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 расшифровкой затрат на проезд, проживание, суточные расходы.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Стоимость проезда необходимо указать по каждому виду транспорта отдельно туда и отдельно обратно.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Размер расходов на проезд и стоимость проживания в гостинице определяется на момент составления расчета.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Размеры возмещения расходов, связанных со служебными ко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Лимиты командировочных расходов: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5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суточные -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00 руб./сутки;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5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проживание - до 6000 руб./сутки;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5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проезд: поезд (купе) или самолет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класс–эконом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с багажом до 20 (двадцати) кг, ручная кладь до 10 (десяти) кг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firstLine="709"/>
        <w:jc w:val="both"/>
        <w:tabs>
          <w:tab w:val="left" w:pos="567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соответствии Приложением №3 к Пояснительной записке по заполнению формы №3п при составлении смет на ПИР.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993" w:firstLine="567"/>
        <w:jc w:val="both"/>
        <w:tabs>
          <w:tab w:val="left" w:pos="1080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568" w:right="924" w:bottom="720" w:left="993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пояснительной записке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по заполнению формы 3П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СПРАВКА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от__________ (указать дату составления справки)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(Образец)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Настоящим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blPrEx/>
        <w:trPr>
          <w:trHeight w:val="32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Должность специалиста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Заработная плата в день, в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5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63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Накладные расходы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(%)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Рентабельность предприятия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_________(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%)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Дата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(Должность единоличного исполнительного органа контрагента/подрядчика)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организации) ________________ (ФИО)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м.п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(Главный бухгалтер)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</w:rPr>
        <w:footnoteReference w:id="3"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 контрагента/подрядчика) _________ (ФИО)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м.п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риложение №2к пояснительной записке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по заполнению формы 3П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 расчета командировочных расходов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hanging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 __ к смете № 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Расчет командировочных расходов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66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42"/>
        <w:gridCol w:w="992"/>
        <w:gridCol w:w="709"/>
        <w:gridCol w:w="1276"/>
        <w:gridCol w:w="708"/>
        <w:gridCol w:w="1443"/>
        <w:gridCol w:w="1308"/>
        <w:gridCol w:w="935"/>
        <w:gridCol w:w="1134"/>
        <w:gridCol w:w="1559"/>
      </w:tblGrid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Пункт назначения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(туда / обратно)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Вид транспорта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проезда, руб. 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дней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суточных, руб./сут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проживания, руб./сут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командировок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командированных человек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W w:w="102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1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1 в пункт 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2 в пункт 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4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 из пункта 1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17"/>
        </w:trPr>
        <w:tc>
          <w:tcPr>
            <w:tcW w:w="4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W w:w="102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5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5 в пункт 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4 в пункт 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2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 из пункта 5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Всего стоимость командировочных расходов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567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pPr>
      <w:r>
        <w:rPr>
          <w:rFonts w:ascii="Times New Roman" w:hAnsi="Times New Roman" w:eastAsia="Times New Roman" w:cs="Times New Roman"/>
          <w:sz w:val="28"/>
          <w:szCs w:val="28"/>
        </w:rPr>
        <w:object w:dxaOrig="1534" w:dyaOrig="993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" o:spid="_x0000_s4" type="#_x0000_t75" style="width:76.50pt;height:49.50pt;mso-wrap-distance-left:0.00pt;mso-wrap-distance-top:0.00pt;mso-wrap-distance-right:0.00pt;mso-wrap-distance-bottom:0.00pt;" filled="f" stroked="f">
            <v:path textboxrect="0,0,0,0"/>
            <v:imagedata r:id="rId22" o:title=""/>
          </v:shape>
          <o:OLEObject DrawAspect="Icon" ObjectID="_1525044" ProgID="Excel.Sheet.12" ShapeID="_x0000_i4" Type="Embed"/>
        </w:object>
      </w:r>
      <w:r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r>
      <w:r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r>
    </w:p>
    <w:sectPr>
      <w:footnotePr/>
      <w:endnotePr/>
      <w:type w:val="nextPage"/>
      <w:pgSz w:w="11906" w:h="16838" w:orient="portrait"/>
      <w:pgMar w:top="568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03"/>
      </w:pPr>
      <w:r>
        <w:rPr>
          <w:rStyle w:val="1004"/>
        </w:rPr>
        <w:footnoteRef/>
      </w:r>
      <w:r>
        <w:t xml:space="preserve"> Е</w:t>
      </w:r>
      <w:r>
        <w:t xml:space="preserve">сли в организации функции главного бухгалтера</w:t>
      </w:r>
      <w:r>
        <w:t xml:space="preserve"> выполняет генеральный директор–</w:t>
      </w:r>
      <w:r>
        <w:t xml:space="preserve">ставится только его виза</w:t>
      </w:r>
      <w:r>
        <w:t xml:space="preserve">.</w:t>
      </w:r>
      <w:r/>
    </w:p>
    <w:p>
      <w:pPr>
        <w:pStyle w:val="1003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  <w:r/>
    </w:p>
  </w:footnote>
  <w:footnote w:id="3">
    <w:p>
      <w:pPr>
        <w:pStyle w:val="1003"/>
      </w:pPr>
      <w:r>
        <w:rPr>
          <w:rStyle w:val="1004"/>
        </w:rPr>
        <w:footnoteRef/>
      </w:r>
      <w:r>
        <w:t xml:space="preserve"> Е</w:t>
      </w:r>
      <w:r>
        <w:t xml:space="preserve">сли в организации функции главного бухгалтера</w:t>
      </w:r>
      <w:r>
        <w:t xml:space="preserve"> выполняет генеральный директор–</w:t>
      </w:r>
      <w:r>
        <w:t xml:space="preserve">ставится только его виза</w:t>
      </w:r>
      <w:r>
        <w:t xml:space="preserve">.</w:t>
      </w:r>
      <w:r/>
    </w:p>
    <w:p>
      <w:pPr>
        <w:pStyle w:val="1003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30</w:t>
    </w:r>
    <w:r>
      <w:fldChar w:fldCharType="end"/>
    </w:r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rPr>
        <w:rStyle w:val="1021"/>
      </w:rPr>
      <w:framePr w:wrap="around" w:vAnchor="text" w:hAnchor="margin" w:xAlign="center" w:y="1"/>
    </w:pPr>
    <w:r>
      <w:rPr>
        <w:rStyle w:val="1021"/>
      </w:rPr>
      <w:fldChar w:fldCharType="begin"/>
    </w:r>
    <w:r>
      <w:rPr>
        <w:rStyle w:val="1021"/>
      </w:rPr>
      <w:instrText xml:space="preserve">PAGE  </w:instrText>
    </w:r>
    <w:r>
      <w:rPr>
        <w:rStyle w:val="1021"/>
      </w:rPr>
      <w:fldChar w:fldCharType="separate"/>
    </w:r>
    <w:r>
      <w:rPr>
        <w:rStyle w:val="1021"/>
      </w:rPr>
      <w:t xml:space="preserve">6</w:t>
    </w:r>
    <w:r>
      <w:rPr>
        <w:rStyle w:val="1021"/>
      </w:rPr>
      <w:fldChar w:fldCharType="end"/>
    </w:r>
    <w:r>
      <w:rPr>
        <w:rStyle w:val="1021"/>
      </w:rPr>
    </w:r>
    <w:r>
      <w:rPr>
        <w:rStyle w:val="1021"/>
      </w:rPr>
    </w:r>
  </w:p>
  <w:p>
    <w:pPr>
      <w:pStyle w:val="1009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442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9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55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34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5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88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89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92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90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91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pStyle w:val="100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00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pStyle w:val="988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91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90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3">
    <w:multiLevelType w:val="hybridMultilevel"/>
    <w:styleLink w:val="1082"/>
    <w:lvl w:ilvl="0">
      <w:start w:val="1"/>
      <w:numFmt w:val="decimal"/>
      <w:pStyle w:val="1082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67" w:hanging="279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30">
    <w:multiLevelType w:val="hybridMultilevel"/>
    <w:lvl w:ilvl="0">
      <w:start w:val="1"/>
      <w:numFmt w:val="decimal"/>
      <w:pStyle w:val="1100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1">
    <w:multiLevelType w:val="hybridMultilevel"/>
    <w:lvl w:ilvl="0">
      <w:start w:val="4"/>
      <w:numFmt w:val="bullet"/>
      <w:pStyle w:val="1069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70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68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7" w:hanging="180"/>
      </w:pPr>
    </w:lvl>
  </w:abstractNum>
  <w:abstractNum w:abstractNumId="35">
    <w:multiLevelType w:val="hybridMultilevel"/>
    <w:styleLink w:val="1078"/>
    <w:lvl w:ilvl="0">
      <w:start w:val="3"/>
      <w:numFmt w:val="decimal"/>
      <w:pStyle w:val="107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</w:pPr>
      <w:rPr>
        <w:rFonts w:hint="default" w:ascii="Symbol" w:hAnsi="Symbo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31"/>
  </w:num>
  <w:num w:numId="3">
    <w:abstractNumId w:val="35"/>
  </w:num>
  <w:num w:numId="4">
    <w:abstractNumId w:val="21"/>
  </w:num>
  <w:num w:numId="5">
    <w:abstractNumId w:val="23"/>
  </w:num>
  <w:num w:numId="6">
    <w:abstractNumId w:val="11"/>
  </w:num>
  <w:num w:numId="7">
    <w:abstractNumId w:val="30"/>
  </w:num>
  <w:num w:numId="8">
    <w:abstractNumId w:val="9"/>
  </w:num>
  <w:num w:numId="9">
    <w:abstractNumId w:val="3"/>
  </w:num>
  <w:num w:numId="10">
    <w:abstractNumId w:val="16"/>
  </w:num>
  <w:num w:numId="11">
    <w:abstractNumId w:val="15"/>
  </w:num>
  <w:num w:numId="12">
    <w:abstractNumId w:val="33"/>
  </w:num>
  <w:num w:numId="13">
    <w:abstractNumId w:val="18"/>
  </w:num>
  <w:num w:numId="14">
    <w:abstractNumId w:val="8"/>
  </w:num>
  <w:num w:numId="15">
    <w:abstractNumId w:val="4"/>
  </w:num>
  <w:num w:numId="16">
    <w:abstractNumId w:val="25"/>
  </w:num>
  <w:num w:numId="17">
    <w:abstractNumId w:val="38"/>
  </w:num>
  <w:num w:numId="18">
    <w:abstractNumId w:val="36"/>
  </w:num>
  <w:num w:numId="19">
    <w:abstractNumId w:val="27"/>
  </w:num>
  <w:num w:numId="20">
    <w:abstractNumId w:val="34"/>
  </w:num>
  <w:num w:numId="21">
    <w:abstractNumId w:val="13"/>
  </w:num>
  <w:num w:numId="22">
    <w:abstractNumId w:val="14"/>
  </w:num>
  <w:num w:numId="23">
    <w:abstractNumId w:val="22"/>
  </w:num>
  <w:num w:numId="24">
    <w:abstractNumId w:val="29"/>
  </w:num>
  <w:num w:numId="25">
    <w:abstractNumId w:val="24"/>
  </w:num>
  <w:num w:numId="26">
    <w:abstractNumId w:val="7"/>
  </w:num>
  <w:num w:numId="27">
    <w:abstractNumId w:val="2"/>
  </w:num>
  <w:num w:numId="28">
    <w:abstractNumId w:val="26"/>
  </w:num>
  <w:num w:numId="29">
    <w:abstractNumId w:val="10"/>
  </w:num>
  <w:num w:numId="30">
    <w:abstractNumId w:val="17"/>
  </w:num>
  <w:num w:numId="31">
    <w:abstractNumId w:val="5"/>
  </w:num>
  <w:num w:numId="32">
    <w:abstractNumId w:val="32"/>
  </w:num>
  <w:num w:numId="33">
    <w:abstractNumId w:val="37"/>
  </w:num>
  <w:num w:numId="34">
    <w:abstractNumId w:val="12"/>
  </w:num>
  <w:num w:numId="35">
    <w:abstractNumId w:val="0"/>
  </w:num>
  <w:num w:numId="36">
    <w:abstractNumId w:val="28"/>
  </w:num>
  <w:num w:numId="37">
    <w:abstractNumId w:val="39"/>
  </w:num>
  <w:num w:numId="38">
    <w:abstractNumId w:val="6"/>
  </w:num>
  <w:num w:numId="39">
    <w:abstractNumId w:val="1"/>
  </w:num>
  <w:num w:numId="40">
    <w:abstractNumId w:val="20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42">
    <w:name w:val="Heading 1 Char"/>
    <w:basedOn w:val="997"/>
    <w:link w:val="988"/>
    <w:uiPriority w:val="9"/>
    <w:rPr>
      <w:rFonts w:ascii="Arial" w:hAnsi="Arial" w:eastAsia="Arial" w:cs="Arial"/>
      <w:sz w:val="40"/>
      <w:szCs w:val="40"/>
    </w:rPr>
  </w:style>
  <w:style w:type="character" w:styleId="843">
    <w:name w:val="Heading 2 Char"/>
    <w:basedOn w:val="997"/>
    <w:link w:val="989"/>
    <w:uiPriority w:val="9"/>
    <w:rPr>
      <w:rFonts w:ascii="Arial" w:hAnsi="Arial" w:eastAsia="Arial" w:cs="Arial"/>
      <w:sz w:val="34"/>
    </w:rPr>
  </w:style>
  <w:style w:type="character" w:styleId="844">
    <w:name w:val="Heading 3 Char"/>
    <w:basedOn w:val="997"/>
    <w:link w:val="990"/>
    <w:uiPriority w:val="9"/>
    <w:rPr>
      <w:rFonts w:ascii="Arial" w:hAnsi="Arial" w:eastAsia="Arial" w:cs="Arial"/>
      <w:sz w:val="30"/>
      <w:szCs w:val="30"/>
    </w:rPr>
  </w:style>
  <w:style w:type="character" w:styleId="845">
    <w:name w:val="Heading 4 Char"/>
    <w:basedOn w:val="997"/>
    <w:link w:val="991"/>
    <w:uiPriority w:val="9"/>
    <w:rPr>
      <w:rFonts w:ascii="Arial" w:hAnsi="Arial" w:eastAsia="Arial" w:cs="Arial"/>
      <w:b/>
      <w:bCs/>
      <w:sz w:val="26"/>
      <w:szCs w:val="26"/>
    </w:rPr>
  </w:style>
  <w:style w:type="character" w:styleId="846">
    <w:name w:val="Heading 5 Char"/>
    <w:basedOn w:val="997"/>
    <w:link w:val="992"/>
    <w:uiPriority w:val="9"/>
    <w:rPr>
      <w:rFonts w:ascii="Arial" w:hAnsi="Arial" w:eastAsia="Arial" w:cs="Arial"/>
      <w:b/>
      <w:bCs/>
      <w:sz w:val="24"/>
      <w:szCs w:val="24"/>
    </w:rPr>
  </w:style>
  <w:style w:type="character" w:styleId="847">
    <w:name w:val="Heading 6 Char"/>
    <w:basedOn w:val="997"/>
    <w:link w:val="993"/>
    <w:uiPriority w:val="9"/>
    <w:rPr>
      <w:rFonts w:ascii="Arial" w:hAnsi="Arial" w:eastAsia="Arial" w:cs="Arial"/>
      <w:b/>
      <w:bCs/>
      <w:sz w:val="22"/>
      <w:szCs w:val="22"/>
    </w:rPr>
  </w:style>
  <w:style w:type="character" w:styleId="848">
    <w:name w:val="Heading 7 Char"/>
    <w:basedOn w:val="997"/>
    <w:link w:val="9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9">
    <w:name w:val="Heading 8 Char"/>
    <w:basedOn w:val="997"/>
    <w:link w:val="995"/>
    <w:uiPriority w:val="9"/>
    <w:rPr>
      <w:rFonts w:ascii="Arial" w:hAnsi="Arial" w:eastAsia="Arial" w:cs="Arial"/>
      <w:i/>
      <w:iCs/>
      <w:sz w:val="22"/>
      <w:szCs w:val="22"/>
    </w:rPr>
  </w:style>
  <w:style w:type="character" w:styleId="850">
    <w:name w:val="Heading 9 Char"/>
    <w:basedOn w:val="997"/>
    <w:link w:val="996"/>
    <w:uiPriority w:val="9"/>
    <w:rPr>
      <w:rFonts w:ascii="Arial" w:hAnsi="Arial" w:eastAsia="Arial" w:cs="Arial"/>
      <w:i/>
      <w:iCs/>
      <w:sz w:val="21"/>
      <w:szCs w:val="21"/>
    </w:rPr>
  </w:style>
  <w:style w:type="paragraph" w:styleId="851">
    <w:name w:val="Title"/>
    <w:basedOn w:val="987"/>
    <w:next w:val="987"/>
    <w:link w:val="8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52">
    <w:name w:val="Title Char"/>
    <w:basedOn w:val="997"/>
    <w:link w:val="851"/>
    <w:uiPriority w:val="10"/>
    <w:rPr>
      <w:sz w:val="48"/>
      <w:szCs w:val="48"/>
    </w:rPr>
  </w:style>
  <w:style w:type="character" w:styleId="853">
    <w:name w:val="Subtitle Char"/>
    <w:basedOn w:val="997"/>
    <w:link w:val="1051"/>
    <w:uiPriority w:val="11"/>
    <w:rPr>
      <w:sz w:val="24"/>
      <w:szCs w:val="24"/>
    </w:rPr>
  </w:style>
  <w:style w:type="character" w:styleId="854">
    <w:name w:val="Quote Char"/>
    <w:link w:val="1055"/>
    <w:uiPriority w:val="29"/>
    <w:rPr>
      <w:i/>
    </w:rPr>
  </w:style>
  <w:style w:type="character" w:styleId="855">
    <w:name w:val="Intense Quote Char"/>
    <w:link w:val="1057"/>
    <w:uiPriority w:val="30"/>
    <w:rPr>
      <w:i/>
    </w:rPr>
  </w:style>
  <w:style w:type="character" w:styleId="856">
    <w:name w:val="Header Char"/>
    <w:basedOn w:val="997"/>
    <w:link w:val="1009"/>
    <w:uiPriority w:val="99"/>
  </w:style>
  <w:style w:type="character" w:styleId="857">
    <w:name w:val="Footer Char"/>
    <w:basedOn w:val="997"/>
    <w:link w:val="1012"/>
    <w:uiPriority w:val="99"/>
  </w:style>
  <w:style w:type="character" w:styleId="858">
    <w:name w:val="Caption Char"/>
    <w:basedOn w:val="1049"/>
    <w:link w:val="1012"/>
    <w:uiPriority w:val="99"/>
  </w:style>
  <w:style w:type="table" w:styleId="859">
    <w:name w:val="Table Grid Light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0">
    <w:name w:val="Plain Table 1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1">
    <w:name w:val="Plain Table 2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2">
    <w:name w:val="Plain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3">
    <w:name w:val="Plain Table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Plain Table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5">
    <w:name w:val="Grid Table 1 Light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1 Light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1 Light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1 Light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Grid Table 1 Light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2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2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2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2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2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3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3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4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7">
    <w:name w:val="Grid Table 4 - Accent 1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8">
    <w:name w:val="Grid Table 4 - Accent 2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9">
    <w:name w:val="Grid Table 4 - Accent 3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0">
    <w:name w:val="Grid Table 4 - Accent 4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1">
    <w:name w:val="Grid Table 4 - Accent 5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2">
    <w:name w:val="Grid Table 4 - Accent 6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3">
    <w:name w:val="Grid Table 5 Dark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4">
    <w:name w:val="Grid Table 5 Dark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95">
    <w:name w:val="Grid Table 5 Dark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96">
    <w:name w:val="Grid Table 5 Dark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97">
    <w:name w:val="Grid Table 5 Dark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8">
    <w:name w:val="Grid Table 5 Dark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9">
    <w:name w:val="Grid Table 5 Dark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0">
    <w:name w:val="Grid Table 6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1">
    <w:name w:val="Grid Table 6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2">
    <w:name w:val="Grid Table 6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3">
    <w:name w:val="Grid Table 6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4">
    <w:name w:val="Grid Table 6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5">
    <w:name w:val="Grid Table 6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6">
    <w:name w:val="Grid Table 6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7">
    <w:name w:val="Grid Table 7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7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7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7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7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7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1 Light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1 Light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2">
    <w:name w:val="List Table 2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3">
    <w:name w:val="List Table 2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4">
    <w:name w:val="List Table 2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5">
    <w:name w:val="List Table 2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6">
    <w:name w:val="List Table 2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7">
    <w:name w:val="List Table 2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8">
    <w:name w:val="List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3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3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3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3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4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4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5 Dark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5 Dark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5 Dark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7">
    <w:name w:val="List Table 5 Dark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8">
    <w:name w:val="List Table 5 Dark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9">
    <w:name w:val="List Table 6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0">
    <w:name w:val="List Table 6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1">
    <w:name w:val="List Table 6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2">
    <w:name w:val="List Table 6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3">
    <w:name w:val="List Table 6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4">
    <w:name w:val="List Table 6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5">
    <w:name w:val="List Table 6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6">
    <w:name w:val="List Table 7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7">
    <w:name w:val="List Table 7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58">
    <w:name w:val="List Table 7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59">
    <w:name w:val="List Table 7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60">
    <w:name w:val="List Table 7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61">
    <w:name w:val="List Table 7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62">
    <w:name w:val="List Table 7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63">
    <w:name w:val="Lined - Accent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4">
    <w:name w:val="Lined - Accent 1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65">
    <w:name w:val="Lined - Accent 2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66">
    <w:name w:val="Lined - Accent 3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7">
    <w:name w:val="Lined - Accent 4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68">
    <w:name w:val="Lined - Accent 5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69">
    <w:name w:val="Lined - Accent 6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0">
    <w:name w:val="Bordered &amp; Lined - Accent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1">
    <w:name w:val="Bordered &amp; Lined - Accent 1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72">
    <w:name w:val="Bordered &amp; Lined - Accent 2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73">
    <w:name w:val="Bordered &amp; Lined - Accent 3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74">
    <w:name w:val="Bordered &amp; Lined - Accent 4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75">
    <w:name w:val="Bordered &amp; Lined - Accent 5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76">
    <w:name w:val="Bordered &amp; Lined - Accent 6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7">
    <w:name w:val="Bordered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8">
    <w:name w:val="Bordered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9">
    <w:name w:val="Bordered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0">
    <w:name w:val="Bordered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1">
    <w:name w:val="Bordered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2">
    <w:name w:val="Bordered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3">
    <w:name w:val="Bordered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4">
    <w:name w:val="Footnote Text Char"/>
    <w:link w:val="1003"/>
    <w:uiPriority w:val="99"/>
    <w:rPr>
      <w:sz w:val="18"/>
    </w:rPr>
  </w:style>
  <w:style w:type="character" w:styleId="985">
    <w:name w:val="Endnote Text Char"/>
    <w:link w:val="1097"/>
    <w:uiPriority w:val="99"/>
    <w:rPr>
      <w:sz w:val="20"/>
    </w:rPr>
  </w:style>
  <w:style w:type="paragraph" w:styleId="986">
    <w:name w:val="table of figures"/>
    <w:basedOn w:val="987"/>
    <w:next w:val="987"/>
    <w:uiPriority w:val="99"/>
    <w:unhideWhenUsed/>
    <w:pPr>
      <w:spacing w:after="0" w:afterAutospacing="0"/>
    </w:pPr>
  </w:style>
  <w:style w:type="paragraph" w:styleId="987" w:default="1">
    <w:name w:val="Normal"/>
    <w:qFormat/>
    <w:rPr>
      <w:sz w:val="28"/>
      <w:szCs w:val="28"/>
    </w:rPr>
  </w:style>
  <w:style w:type="paragraph" w:styleId="988">
    <w:name w:val="Heading 1"/>
    <w:basedOn w:val="990"/>
    <w:next w:val="987"/>
    <w:link w:val="1041"/>
    <w:qFormat/>
    <w:pPr>
      <w:numPr>
        <w:ilvl w:val="0"/>
      </w:numPr>
      <w:outlineLvl w:val="0"/>
    </w:pPr>
    <w:rPr>
      <w:sz w:val="28"/>
      <w:szCs w:val="28"/>
    </w:rPr>
  </w:style>
  <w:style w:type="paragraph" w:styleId="989">
    <w:name w:val="Heading 2"/>
    <w:basedOn w:val="991"/>
    <w:next w:val="987"/>
    <w:link w:val="1043"/>
    <w:qFormat/>
    <w:pPr>
      <w:outlineLvl w:val="1"/>
    </w:pPr>
  </w:style>
  <w:style w:type="paragraph" w:styleId="990">
    <w:name w:val="Heading 3"/>
    <w:basedOn w:val="987"/>
    <w:next w:val="987"/>
    <w:link w:val="1044"/>
    <w:qFormat/>
    <w:pPr>
      <w:numPr>
        <w:ilvl w:val="2"/>
        <w:numId w:val="4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991">
    <w:name w:val="Heading 4"/>
    <w:basedOn w:val="990"/>
    <w:next w:val="987"/>
    <w:link w:val="1045"/>
    <w:qFormat/>
    <w:pPr>
      <w:numPr>
        <w:ilvl w:val="1"/>
      </w:numPr>
      <w:outlineLvl w:val="3"/>
    </w:pPr>
    <w:rPr>
      <w:bCs/>
    </w:rPr>
  </w:style>
  <w:style w:type="paragraph" w:styleId="992">
    <w:name w:val="Heading 5"/>
    <w:basedOn w:val="987"/>
    <w:next w:val="987"/>
    <w:link w:val="104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93">
    <w:name w:val="Heading 6"/>
    <w:basedOn w:val="987"/>
    <w:next w:val="987"/>
    <w:link w:val="1038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94">
    <w:name w:val="Heading 7"/>
    <w:basedOn w:val="987"/>
    <w:next w:val="987"/>
    <w:link w:val="1039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95">
    <w:name w:val="Heading 8"/>
    <w:basedOn w:val="987"/>
    <w:next w:val="987"/>
    <w:link w:val="1040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96">
    <w:name w:val="Heading 9"/>
    <w:basedOn w:val="987"/>
    <w:next w:val="987"/>
    <w:link w:val="104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97" w:default="1">
    <w:name w:val="Default Paragraph Font"/>
    <w:uiPriority w:val="1"/>
    <w:semiHidden/>
    <w:unhideWhenUsed/>
  </w:style>
  <w:style w:type="table" w:styleId="9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9" w:default="1">
    <w:name w:val="No List"/>
    <w:uiPriority w:val="99"/>
    <w:semiHidden/>
    <w:unhideWhenUsed/>
  </w:style>
  <w:style w:type="paragraph" w:styleId="1000" w:customStyle="1">
    <w:name w:val="Название раздела инструкции"/>
    <w:basedOn w:val="987"/>
    <w:pPr>
      <w:jc w:val="center"/>
    </w:pPr>
    <w:rPr>
      <w:b/>
    </w:rPr>
  </w:style>
  <w:style w:type="paragraph" w:styleId="1001" w:customStyle="1">
    <w:name w:val="Раздел положения"/>
    <w:basedOn w:val="987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002" w:customStyle="1">
    <w:name w:val="Подраздел раздела положения"/>
    <w:basedOn w:val="987"/>
    <w:pPr>
      <w:numPr>
        <w:ilvl w:val="1"/>
        <w:numId w:val="1"/>
      </w:numPr>
      <w:jc w:val="both"/>
      <w:spacing w:before="80" w:after="80"/>
    </w:pPr>
  </w:style>
  <w:style w:type="paragraph" w:styleId="1003">
    <w:name w:val="footnote text"/>
    <w:basedOn w:val="987"/>
    <w:link w:val="1077"/>
    <w:uiPriority w:val="99"/>
    <w:rPr>
      <w:sz w:val="20"/>
      <w:szCs w:val="20"/>
    </w:rPr>
  </w:style>
  <w:style w:type="character" w:styleId="1004">
    <w:name w:val="footnote reference"/>
    <w:uiPriority w:val="99"/>
    <w:rPr>
      <w:vertAlign w:val="superscript"/>
    </w:rPr>
  </w:style>
  <w:style w:type="paragraph" w:styleId="1005" w:customStyle="1">
    <w:name w:val="Шапка 1"/>
    <w:basedOn w:val="987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006" w:customStyle="1">
    <w:name w:val="Шапка 2"/>
    <w:basedOn w:val="987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007" w:customStyle="1">
    <w:name w:val="Шапка 3"/>
    <w:basedOn w:val="987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08" w:customStyle="1">
    <w:name w:val="Название1"/>
    <w:basedOn w:val="987"/>
    <w:link w:val="1050"/>
    <w:uiPriority w:val="10"/>
    <w:qFormat/>
    <w:pPr>
      <w:jc w:val="center"/>
    </w:pPr>
    <w:rPr>
      <w:szCs w:val="20"/>
    </w:rPr>
  </w:style>
  <w:style w:type="paragraph" w:styleId="1009">
    <w:name w:val="Header"/>
    <w:basedOn w:val="987"/>
    <w:link w:val="1094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10">
    <w:name w:val="Body Text Indent"/>
    <w:basedOn w:val="987"/>
    <w:pPr>
      <w:ind w:left="360"/>
    </w:pPr>
    <w:rPr>
      <w:sz w:val="24"/>
      <w:szCs w:val="24"/>
    </w:rPr>
  </w:style>
  <w:style w:type="table" w:styleId="1011">
    <w:name w:val="Table Grid"/>
    <w:basedOn w:val="99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2">
    <w:name w:val="Footer"/>
    <w:basedOn w:val="987"/>
    <w:pPr>
      <w:tabs>
        <w:tab w:val="center" w:pos="4677" w:leader="none"/>
        <w:tab w:val="right" w:pos="9355" w:leader="none"/>
      </w:tabs>
    </w:pPr>
  </w:style>
  <w:style w:type="paragraph" w:styleId="1013">
    <w:name w:val="Body Text"/>
    <w:basedOn w:val="987"/>
    <w:link w:val="1080"/>
    <w:pPr>
      <w:spacing w:after="120"/>
    </w:pPr>
  </w:style>
  <w:style w:type="paragraph" w:styleId="1014">
    <w:name w:val="Body Text Indent 2"/>
    <w:basedOn w:val="987"/>
    <w:pPr>
      <w:ind w:left="283"/>
      <w:spacing w:after="120" w:line="480" w:lineRule="auto"/>
    </w:pPr>
  </w:style>
  <w:style w:type="paragraph" w:styleId="1015">
    <w:name w:val="Body Text 3"/>
    <w:basedOn w:val="987"/>
    <w:pPr>
      <w:spacing w:after="120"/>
    </w:pPr>
    <w:rPr>
      <w:sz w:val="16"/>
      <w:szCs w:val="16"/>
    </w:rPr>
  </w:style>
  <w:style w:type="paragraph" w:styleId="1016">
    <w:name w:val="Body Text Indent 3"/>
    <w:basedOn w:val="987"/>
    <w:link w:val="1111"/>
    <w:pPr>
      <w:ind w:left="283"/>
      <w:spacing w:after="120"/>
    </w:pPr>
    <w:rPr>
      <w:sz w:val="16"/>
      <w:szCs w:val="16"/>
    </w:rPr>
  </w:style>
  <w:style w:type="paragraph" w:styleId="1017">
    <w:name w:val="Body Text 2"/>
    <w:basedOn w:val="987"/>
    <w:pPr>
      <w:spacing w:after="120" w:line="480" w:lineRule="auto"/>
    </w:pPr>
  </w:style>
  <w:style w:type="paragraph" w:styleId="1018">
    <w:name w:val="Block Text"/>
    <w:basedOn w:val="987"/>
    <w:pPr>
      <w:ind w:left="-567" w:right="-766"/>
      <w:jc w:val="center"/>
    </w:pPr>
    <w:rPr>
      <w:b/>
      <w:bCs/>
      <w:sz w:val="24"/>
      <w:szCs w:val="20"/>
    </w:rPr>
  </w:style>
  <w:style w:type="paragraph" w:styleId="1019" w:customStyle="1">
    <w:name w:val="Подпункт"/>
    <w:basedOn w:val="987"/>
    <w:link w:val="1075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20" w:customStyle="1">
    <w:name w:val="Пункт2"/>
    <w:basedOn w:val="987"/>
    <w:link w:val="1101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21">
    <w:name w:val="page number"/>
    <w:basedOn w:val="997"/>
  </w:style>
  <w:style w:type="paragraph" w:styleId="1022">
    <w:name w:val="toc 1"/>
    <w:basedOn w:val="987"/>
    <w:next w:val="987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23">
    <w:name w:val="toc 3"/>
    <w:basedOn w:val="987"/>
    <w:next w:val="987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1024">
    <w:name w:val="Hyperlink"/>
    <w:uiPriority w:val="99"/>
    <w:rPr>
      <w:color w:val="0000ff"/>
      <w:u w:val="single"/>
    </w:rPr>
  </w:style>
  <w:style w:type="paragraph" w:styleId="1025" w:customStyle="1">
    <w:name w:val="Раздел регламента"/>
    <w:basedOn w:val="987"/>
  </w:style>
  <w:style w:type="paragraph" w:styleId="1026" w:customStyle="1">
    <w:name w:val="Приложение к регламенту"/>
    <w:basedOn w:val="987"/>
    <w:pPr>
      <w:jc w:val="right"/>
    </w:pPr>
  </w:style>
  <w:style w:type="paragraph" w:styleId="1027">
    <w:name w:val="toc 2"/>
    <w:basedOn w:val="987"/>
    <w:next w:val="98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1028">
    <w:name w:val="Balloon Text"/>
    <w:basedOn w:val="987"/>
    <w:semiHidden/>
    <w:rPr>
      <w:rFonts w:ascii="Tahoma" w:hAnsi="Tahoma" w:cs="Tahoma"/>
      <w:sz w:val="16"/>
      <w:szCs w:val="16"/>
    </w:rPr>
  </w:style>
  <w:style w:type="character" w:styleId="1029">
    <w:name w:val="annotation reference"/>
    <w:rPr>
      <w:sz w:val="16"/>
      <w:szCs w:val="16"/>
    </w:rPr>
  </w:style>
  <w:style w:type="paragraph" w:styleId="1030">
    <w:name w:val="annotation text"/>
    <w:basedOn w:val="987"/>
    <w:link w:val="1095"/>
    <w:rPr>
      <w:sz w:val="20"/>
      <w:szCs w:val="20"/>
    </w:rPr>
  </w:style>
  <w:style w:type="paragraph" w:styleId="1031">
    <w:name w:val="annotation subject"/>
    <w:basedOn w:val="1030"/>
    <w:next w:val="1030"/>
    <w:semiHidden/>
    <w:rPr>
      <w:b/>
      <w:bCs/>
    </w:rPr>
  </w:style>
  <w:style w:type="paragraph" w:styleId="1032" w:customStyle="1">
    <w:name w:val="Обычный (веб)1"/>
    <w:basedOn w:val="98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33">
    <w:name w:val="toc 9"/>
    <w:basedOn w:val="987"/>
    <w:next w:val="98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34">
    <w:name w:val="toc 5"/>
    <w:basedOn w:val="987"/>
    <w:next w:val="98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35">
    <w:name w:val="toc 4"/>
    <w:basedOn w:val="987"/>
    <w:next w:val="987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1036" w:customStyle="1">
    <w:name w:val="Раздел положения 2"/>
    <w:basedOn w:val="987"/>
    <w:pPr>
      <w:jc w:val="both"/>
      <w:pageBreakBefore/>
      <w:outlineLvl w:val="0"/>
    </w:pPr>
    <w:rPr>
      <w:b/>
    </w:rPr>
  </w:style>
  <w:style w:type="character" w:styleId="1037">
    <w:name w:val="Strong"/>
    <w:qFormat/>
    <w:rPr>
      <w:b/>
      <w:bCs/>
    </w:rPr>
  </w:style>
  <w:style w:type="character" w:styleId="1038" w:customStyle="1">
    <w:name w:val="Заголовок 6 Знак"/>
    <w:link w:val="993"/>
    <w:uiPriority w:val="9"/>
    <w:rPr>
      <w:rFonts w:ascii="Cambria" w:hAnsi="Cambria"/>
      <w:i/>
      <w:iCs/>
      <w:color w:val="243f60"/>
    </w:rPr>
  </w:style>
  <w:style w:type="character" w:styleId="1039" w:customStyle="1">
    <w:name w:val="Заголовок 7 Знак"/>
    <w:link w:val="994"/>
    <w:uiPriority w:val="9"/>
    <w:rPr>
      <w:rFonts w:ascii="Cambria" w:hAnsi="Cambria"/>
      <w:i/>
      <w:iCs/>
      <w:color w:val="404040"/>
    </w:rPr>
  </w:style>
  <w:style w:type="character" w:styleId="1040" w:customStyle="1">
    <w:name w:val="Заголовок 8 Знак"/>
    <w:link w:val="995"/>
    <w:uiPriority w:val="9"/>
    <w:rPr>
      <w:rFonts w:ascii="Cambria" w:hAnsi="Cambria"/>
      <w:color w:val="4f81bd"/>
    </w:rPr>
  </w:style>
  <w:style w:type="character" w:styleId="1041" w:customStyle="1">
    <w:name w:val="Заголовок 1 Знак"/>
    <w:link w:val="988"/>
    <w:rPr>
      <w:rFonts w:eastAsia="Calibri"/>
      <w:b/>
      <w:sz w:val="28"/>
      <w:szCs w:val="28"/>
    </w:rPr>
  </w:style>
  <w:style w:type="paragraph" w:styleId="1042" w:customStyle="1">
    <w:name w:val="Знак Знак Знак Знак Знак Знак Знак Знак Знак"/>
    <w:basedOn w:val="98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43" w:customStyle="1">
    <w:name w:val="Заголовок 2 Знак"/>
    <w:link w:val="989"/>
    <w:rPr>
      <w:rFonts w:eastAsia="Calibri"/>
      <w:b/>
      <w:bCs/>
      <w:sz w:val="24"/>
      <w:szCs w:val="24"/>
    </w:rPr>
  </w:style>
  <w:style w:type="character" w:styleId="1044" w:customStyle="1">
    <w:name w:val="Заголовок 3 Знак"/>
    <w:link w:val="990"/>
    <w:rPr>
      <w:rFonts w:eastAsia="Calibri"/>
      <w:b/>
      <w:sz w:val="24"/>
      <w:szCs w:val="24"/>
    </w:rPr>
  </w:style>
  <w:style w:type="character" w:styleId="1045" w:customStyle="1">
    <w:name w:val="Заголовок 4 Знак"/>
    <w:link w:val="991"/>
    <w:rPr>
      <w:rFonts w:eastAsia="Calibri"/>
      <w:b/>
      <w:bCs/>
      <w:sz w:val="24"/>
      <w:szCs w:val="24"/>
    </w:rPr>
  </w:style>
  <w:style w:type="character" w:styleId="1046" w:customStyle="1">
    <w:name w:val="Заголовок 5 Знак"/>
    <w:link w:val="992"/>
    <w:uiPriority w:val="9"/>
    <w:rPr>
      <w:b/>
      <w:bCs/>
      <w:i/>
      <w:iCs/>
      <w:sz w:val="26"/>
      <w:szCs w:val="26"/>
    </w:rPr>
  </w:style>
  <w:style w:type="character" w:styleId="1047" w:customStyle="1">
    <w:name w:val="Заголовок 9 Знак"/>
    <w:link w:val="996"/>
    <w:uiPriority w:val="9"/>
    <w:rPr>
      <w:rFonts w:ascii="Arial" w:hAnsi="Arial" w:cs="Arial"/>
      <w:sz w:val="22"/>
      <w:szCs w:val="22"/>
    </w:rPr>
  </w:style>
  <w:style w:type="paragraph" w:styleId="1048">
    <w:name w:val="No Spacing"/>
    <w:basedOn w:val="98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49">
    <w:name w:val="Caption"/>
    <w:basedOn w:val="987"/>
    <w:next w:val="987"/>
    <w:link w:val="858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50" w:customStyle="1">
    <w:name w:val="Название Знак"/>
    <w:link w:val="1008"/>
    <w:uiPriority w:val="10"/>
    <w:rPr>
      <w:sz w:val="28"/>
    </w:rPr>
  </w:style>
  <w:style w:type="paragraph" w:styleId="1051">
    <w:name w:val="Subtitle"/>
    <w:basedOn w:val="987"/>
    <w:next w:val="987"/>
    <w:link w:val="105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52" w:customStyle="1">
    <w:name w:val="Подзаголовок Знак"/>
    <w:link w:val="1051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53">
    <w:name w:val="Emphasis"/>
    <w:uiPriority w:val="20"/>
    <w:qFormat/>
    <w:rPr>
      <w:i/>
      <w:iCs/>
    </w:rPr>
  </w:style>
  <w:style w:type="paragraph" w:styleId="1054">
    <w:name w:val="List Paragraph"/>
    <w:basedOn w:val="987"/>
    <w:link w:val="108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55">
    <w:name w:val="Quote"/>
    <w:basedOn w:val="987"/>
    <w:next w:val="987"/>
    <w:link w:val="105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56" w:customStyle="1">
    <w:name w:val="Цитата 2 Знак"/>
    <w:link w:val="1055"/>
    <w:uiPriority w:val="29"/>
    <w:rPr>
      <w:rFonts w:ascii="Calibri" w:hAnsi="Calibri" w:eastAsia="Calibri"/>
      <w:i/>
      <w:iCs/>
      <w:color w:val="000000"/>
    </w:rPr>
  </w:style>
  <w:style w:type="paragraph" w:styleId="1057">
    <w:name w:val="Intense Quote"/>
    <w:basedOn w:val="987"/>
    <w:next w:val="987"/>
    <w:link w:val="1058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58" w:customStyle="1">
    <w:name w:val="Выделенная цитата Знак"/>
    <w:link w:val="1057"/>
    <w:uiPriority w:val="30"/>
    <w:rPr>
      <w:rFonts w:ascii="Calibri" w:hAnsi="Calibri" w:eastAsia="Calibri"/>
      <w:b/>
      <w:bCs/>
      <w:i/>
      <w:iCs/>
      <w:color w:val="4f81bd"/>
    </w:rPr>
  </w:style>
  <w:style w:type="character" w:styleId="1059">
    <w:name w:val="Subtle Emphasis"/>
    <w:uiPriority w:val="19"/>
    <w:qFormat/>
    <w:rPr>
      <w:i/>
      <w:iCs/>
      <w:color w:val="808080"/>
    </w:rPr>
  </w:style>
  <w:style w:type="character" w:styleId="1060">
    <w:name w:val="Intense Emphasis"/>
    <w:uiPriority w:val="21"/>
    <w:qFormat/>
    <w:rPr>
      <w:b/>
      <w:bCs/>
      <w:i/>
      <w:iCs/>
      <w:color w:val="4f81bd"/>
    </w:rPr>
  </w:style>
  <w:style w:type="character" w:styleId="1061">
    <w:name w:val="Subtle Reference"/>
    <w:uiPriority w:val="31"/>
    <w:qFormat/>
    <w:rPr>
      <w:smallCaps/>
      <w:color w:val="c0504d"/>
      <w:u w:val="single"/>
    </w:rPr>
  </w:style>
  <w:style w:type="character" w:styleId="106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63">
    <w:name w:val="Book Title"/>
    <w:uiPriority w:val="33"/>
    <w:qFormat/>
    <w:rPr>
      <w:b/>
      <w:bCs/>
      <w:smallCaps/>
      <w:spacing w:val="5"/>
    </w:rPr>
  </w:style>
  <w:style w:type="paragraph" w:styleId="1064">
    <w:name w:val="TOC Heading"/>
    <w:basedOn w:val="988"/>
    <w:next w:val="98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65">
    <w:name w:val="E-mail Signature"/>
    <w:basedOn w:val="987"/>
    <w:link w:val="1066"/>
    <w:uiPriority w:val="99"/>
    <w:unhideWhenUsed/>
    <w:rPr>
      <w:rFonts w:eastAsia="Calibri"/>
      <w:sz w:val="24"/>
      <w:szCs w:val="24"/>
    </w:rPr>
  </w:style>
  <w:style w:type="character" w:styleId="1066" w:customStyle="1">
    <w:name w:val="Электронная подпись Знак"/>
    <w:link w:val="1065"/>
    <w:uiPriority w:val="99"/>
    <w:rPr>
      <w:rFonts w:eastAsia="Calibri"/>
      <w:sz w:val="24"/>
      <w:szCs w:val="24"/>
    </w:rPr>
  </w:style>
  <w:style w:type="paragraph" w:styleId="1067" w:customStyle="1">
    <w:name w:val="Знак"/>
    <w:basedOn w:val="9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8" w:customStyle="1">
    <w:name w:val="Нумерованный список ур3"/>
    <w:basedOn w:val="987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69" w:customStyle="1">
    <w:name w:val="Нумерованный список 1"/>
    <w:basedOn w:val="987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70" w:customStyle="1">
    <w:name w:val="Нумерованный список ур2"/>
    <w:basedOn w:val="987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71">
    <w:name w:val="Revision"/>
    <w:hidden/>
    <w:uiPriority w:val="99"/>
    <w:semiHidden/>
    <w:rPr>
      <w:rFonts w:eastAsia="Calibri"/>
      <w:sz w:val="24"/>
      <w:szCs w:val="24"/>
    </w:rPr>
  </w:style>
  <w:style w:type="paragraph" w:styleId="1072" w:customStyle="1">
    <w:name w:val="ConsPlusNormal"/>
    <w:link w:val="1114"/>
    <w:pPr>
      <w:ind w:firstLine="720"/>
      <w:widowControl w:val="off"/>
    </w:pPr>
    <w:rPr>
      <w:rFonts w:ascii="Arial" w:hAnsi="Arial" w:cs="Arial"/>
    </w:rPr>
  </w:style>
  <w:style w:type="paragraph" w:styleId="1073" w:customStyle="1">
    <w:name w:val="Знак Знак3 Знак Знак"/>
    <w:basedOn w:val="98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74" w:customStyle="1">
    <w:name w:val="Пункт"/>
    <w:basedOn w:val="987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75" w:customStyle="1">
    <w:name w:val="Подпункт Знак1"/>
    <w:link w:val="1019"/>
    <w:rPr>
      <w:sz w:val="28"/>
    </w:rPr>
  </w:style>
  <w:style w:type="paragraph" w:styleId="1076" w:customStyle="1">
    <w:name w:val="Абзац списка1"/>
    <w:basedOn w:val="987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77" w:customStyle="1">
    <w:name w:val="Текст сноски Знак"/>
    <w:link w:val="1003"/>
    <w:uiPriority w:val="99"/>
  </w:style>
  <w:style w:type="numbering" w:styleId="1078" w:customStyle="1">
    <w:name w:val="Стиль1"/>
    <w:uiPriority w:val="99"/>
    <w:pPr>
      <w:numPr>
        <w:ilvl w:val="0"/>
        <w:numId w:val="3"/>
      </w:numPr>
    </w:pPr>
  </w:style>
  <w:style w:type="paragraph" w:styleId="1079" w:customStyle="1">
    <w:name w:val="Таблица"/>
    <w:basedOn w:val="98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80" w:customStyle="1">
    <w:name w:val="Основной текст Знак"/>
    <w:link w:val="1013"/>
    <w:rPr>
      <w:sz w:val="28"/>
      <w:szCs w:val="28"/>
    </w:rPr>
  </w:style>
  <w:style w:type="character" w:styleId="1081" w:customStyle="1">
    <w:name w:val="blk"/>
  </w:style>
  <w:style w:type="numbering" w:styleId="1082" w:customStyle="1">
    <w:name w:val="Стиль2"/>
    <w:uiPriority w:val="99"/>
    <w:pPr>
      <w:numPr>
        <w:ilvl w:val="0"/>
        <w:numId w:val="5"/>
      </w:numPr>
    </w:pPr>
  </w:style>
  <w:style w:type="paragraph" w:styleId="1083" w:customStyle="1">
    <w:name w:val="Таблица шапка"/>
    <w:basedOn w:val="987"/>
    <w:pPr>
      <w:ind w:left="57" w:right="57"/>
      <w:keepNext/>
      <w:spacing w:before="40" w:after="40"/>
    </w:pPr>
    <w:rPr>
      <w:sz w:val="22"/>
      <w:szCs w:val="26"/>
    </w:rPr>
  </w:style>
  <w:style w:type="character" w:styleId="1084" w:customStyle="1">
    <w:name w:val="Абзац списка Знак"/>
    <w:link w:val="1054"/>
    <w:uiPriority w:val="34"/>
    <w:rPr>
      <w:rFonts w:eastAsia="Calibri"/>
      <w:sz w:val="24"/>
      <w:szCs w:val="24"/>
    </w:rPr>
  </w:style>
  <w:style w:type="character" w:styleId="1085" w:customStyle="1">
    <w:name w:val="комментарий"/>
    <w:rPr>
      <w:b/>
      <w:i/>
      <w:shd w:val="clear" w:color="auto" w:fill="ffff99"/>
    </w:rPr>
  </w:style>
  <w:style w:type="paragraph" w:styleId="1086" w:customStyle="1">
    <w:name w:val="Подподпункт"/>
    <w:basedOn w:val="1019"/>
    <w:link w:val="1087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87" w:customStyle="1">
    <w:name w:val="Подподпункт Знак"/>
    <w:link w:val="1086"/>
    <w:rPr>
      <w:sz w:val="26"/>
      <w:szCs w:val="26"/>
    </w:rPr>
  </w:style>
  <w:style w:type="paragraph" w:styleId="1088" w:customStyle="1">
    <w:name w:val="УРОВЕНЬ_(а)"/>
    <w:basedOn w:val="1054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89" w:customStyle="1">
    <w:name w:val="УРОВЕНЬ_-"/>
    <w:basedOn w:val="1054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90" w:customStyle="1">
    <w:name w:val="УРОВЕНЬ_Абзац_тип2"/>
    <w:basedOn w:val="1054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91" w:customStyle="1">
    <w:name w:val="УРОВЕНЬ_Абзац_тип3"/>
    <w:basedOn w:val="1054"/>
    <w:link w:val="1093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92" w:customStyle="1">
    <w:name w:val="УРОВЕНЬ_Подпись"/>
    <w:basedOn w:val="1054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93" w:customStyle="1">
    <w:name w:val="УРОВЕНЬ_Абзац_тип3 Знак"/>
    <w:link w:val="1091"/>
    <w:rPr>
      <w:rFonts w:eastAsia="Calibri"/>
      <w:sz w:val="26"/>
      <w:szCs w:val="28"/>
      <w:lang w:eastAsia="en-US"/>
    </w:rPr>
  </w:style>
  <w:style w:type="character" w:styleId="1094" w:customStyle="1">
    <w:name w:val="Верхний колонтитул Знак"/>
    <w:link w:val="1009"/>
    <w:uiPriority w:val="99"/>
    <w:rPr>
      <w:sz w:val="24"/>
      <w:szCs w:val="24"/>
    </w:rPr>
  </w:style>
  <w:style w:type="character" w:styleId="1095" w:customStyle="1">
    <w:name w:val="Текст примечания Знак"/>
    <w:link w:val="1030"/>
  </w:style>
  <w:style w:type="paragraph" w:styleId="1096" w:customStyle="1">
    <w:name w:val="Стиль Заголовок 1 + по ширине"/>
    <w:basedOn w:val="988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97">
    <w:name w:val="endnote text"/>
    <w:basedOn w:val="987"/>
    <w:link w:val="1098"/>
    <w:rPr>
      <w:sz w:val="20"/>
      <w:szCs w:val="20"/>
    </w:rPr>
  </w:style>
  <w:style w:type="character" w:styleId="1098" w:customStyle="1">
    <w:name w:val="Текст концевой сноски Знак"/>
    <w:basedOn w:val="997"/>
    <w:link w:val="1097"/>
  </w:style>
  <w:style w:type="character" w:styleId="1099">
    <w:name w:val="endnote reference"/>
    <w:basedOn w:val="997"/>
    <w:rPr>
      <w:vertAlign w:val="superscript"/>
    </w:rPr>
  </w:style>
  <w:style w:type="paragraph" w:styleId="1100" w:customStyle="1">
    <w:name w:val="Заголовок 2 КВВ"/>
    <w:basedOn w:val="987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101" w:customStyle="1">
    <w:name w:val="Пункт2 Знак"/>
    <w:link w:val="1020"/>
    <w:rPr>
      <w:b/>
      <w:sz w:val="28"/>
    </w:rPr>
  </w:style>
  <w:style w:type="paragraph" w:styleId="1102" w:customStyle="1">
    <w:name w:val="Таблица текст"/>
    <w:basedOn w:val="987"/>
    <w:pPr>
      <w:ind w:left="57" w:right="57"/>
      <w:spacing w:before="40" w:after="40"/>
    </w:pPr>
    <w:rPr>
      <w:sz w:val="24"/>
      <w:szCs w:val="26"/>
    </w:rPr>
  </w:style>
  <w:style w:type="paragraph" w:styleId="1103">
    <w:name w:val="Normal (Web)"/>
    <w:basedOn w:val="98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104" w:customStyle="1">
    <w:name w:val="УРОВЕНЬ_1."/>
    <w:basedOn w:val="1054"/>
    <w:link w:val="110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105" w:customStyle="1">
    <w:name w:val="УРОВЕНЬ_1. Знак"/>
    <w:link w:val="1104"/>
    <w:rPr>
      <w:rFonts w:eastAsia="Calibri"/>
      <w:caps/>
      <w:sz w:val="28"/>
      <w:szCs w:val="28"/>
      <w:lang w:eastAsia="en-US"/>
    </w:rPr>
  </w:style>
  <w:style w:type="table" w:styleId="1106" w:customStyle="1">
    <w:name w:val="Сетка таблицы1"/>
    <w:basedOn w:val="998"/>
    <w:next w:val="1011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7">
    <w:name w:val="toc 6"/>
    <w:basedOn w:val="987"/>
    <w:next w:val="98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108">
    <w:name w:val="toc 7"/>
    <w:basedOn w:val="987"/>
    <w:next w:val="98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109">
    <w:name w:val="toc 8"/>
    <w:basedOn w:val="987"/>
    <w:next w:val="98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110" w:customStyle="1">
    <w:name w:val="Неразрешенное упоминание1"/>
    <w:basedOn w:val="997"/>
    <w:uiPriority w:val="99"/>
    <w:semiHidden/>
    <w:unhideWhenUsed/>
    <w:rPr>
      <w:color w:val="605e5c"/>
      <w:shd w:val="clear" w:color="auto" w:fill="e1dfdd"/>
    </w:rPr>
  </w:style>
  <w:style w:type="character" w:styleId="1111" w:customStyle="1">
    <w:name w:val="Основной текст с отступом 3 Знак"/>
    <w:link w:val="1016"/>
    <w:rPr>
      <w:sz w:val="16"/>
      <w:szCs w:val="16"/>
    </w:rPr>
  </w:style>
  <w:style w:type="character" w:styleId="1112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1113">
    <w:name w:val="FollowedHyperlink"/>
    <w:basedOn w:val="997"/>
    <w:semiHidden/>
    <w:unhideWhenUsed/>
    <w:rPr>
      <w:color w:val="954f72" w:themeColor="followedHyperlink"/>
      <w:u w:val="single"/>
    </w:rPr>
  </w:style>
  <w:style w:type="character" w:styleId="1114" w:customStyle="1">
    <w:name w:val="ConsPlusNormal Знак"/>
    <w:link w:val="1072"/>
    <w:rPr>
      <w:rFonts w:ascii="Arial" w:hAnsi="Arial" w:cs="Arial"/>
    </w:rPr>
  </w:style>
  <w:style w:type="paragraph" w:styleId="1115" w:customStyle="1">
    <w:name w:val="Пункт Знак"/>
    <w:basedOn w:val="987"/>
    <w:pPr>
      <w:ind w:left="1844" w:hanging="567"/>
      <w:jc w:val="both"/>
      <w:spacing w:line="360" w:lineRule="auto"/>
      <w:tabs>
        <w:tab w:val="left" w:pos="851" w:leader="none"/>
        <w:tab w:val="left" w:pos="1134" w:leader="none"/>
        <w:tab w:val="num" w:pos="1844" w:leader="none"/>
      </w:tabs>
    </w:pPr>
    <w:rPr>
      <w:b/>
      <w:szCs w:val="20"/>
    </w:rPr>
  </w:style>
  <w:style w:type="paragraph" w:styleId="1116" w:customStyle="1">
    <w:name w:val="Подподподпункт"/>
    <w:basedOn w:val="987"/>
    <w:pPr>
      <w:ind w:left="1718" w:hanging="1008"/>
      <w:jc w:val="both"/>
      <w:spacing w:line="360" w:lineRule="auto"/>
      <w:tabs>
        <w:tab w:val="left" w:pos="1134" w:leader="none"/>
        <w:tab w:val="left" w:pos="1701" w:leader="none"/>
      </w:tabs>
    </w:pPr>
    <w:rPr>
      <w:szCs w:val="20"/>
    </w:rPr>
  </w:style>
  <w:style w:type="paragraph" w:styleId="1117" w:customStyle="1">
    <w:name w:val="Пункт1"/>
    <w:basedOn w:val="987"/>
    <w:pPr>
      <w:ind w:left="567" w:hanging="279"/>
      <w:jc w:val="center"/>
      <w:spacing w:before="240" w:line="360" w:lineRule="auto"/>
      <w:tabs>
        <w:tab w:val="num" w:pos="567" w:leader="none"/>
      </w:tabs>
    </w:pPr>
    <w:rPr>
      <w:rFonts w:ascii="Arial" w:hAnsi="Arial"/>
      <w:b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www.fedstat.ru" TargetMode="External"/><Relationship Id="rId14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15" Type="http://schemas.openxmlformats.org/officeDocument/2006/relationships/image" Target="media/image1.jpg"/><Relationship Id="rId16" Type="http://schemas.openxmlformats.org/officeDocument/2006/relationships/image" Target="media/image2.png"/><Relationship Id="rId17" Type="http://schemas.openxmlformats.org/officeDocument/2006/relationships/oleObject" Target="embeddings/oleObject1.bin"/><Relationship Id="rId18" Type="http://schemas.openxmlformats.org/officeDocument/2006/relationships/image" Target="media/image3.emf"/><Relationship Id="rId19" Type="http://schemas.openxmlformats.org/officeDocument/2006/relationships/image" Target="media/media2.svg"/><Relationship Id="rId20" Type="http://schemas.openxmlformats.org/officeDocument/2006/relationships/image" Target="media/image4.emf"/><Relationship Id="rId21" Type="http://schemas.openxmlformats.org/officeDocument/2006/relationships/image" Target="media/media3.svg"/><Relationship Id="rId22" Type="http://schemas.openxmlformats.org/officeDocument/2006/relationships/image" Target="media/image5.emf"/><Relationship Id="rId23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5C116-D1DD-44D2-9427-231D1C34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morgachev_ts</cp:lastModifiedBy>
  <cp:revision>14</cp:revision>
  <dcterms:created xsi:type="dcterms:W3CDTF">2024-04-23T23:02:00Z</dcterms:created>
  <dcterms:modified xsi:type="dcterms:W3CDTF">2026-03-01T23:39:49Z</dcterms:modified>
</cp:coreProperties>
</file>